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C5ED4">
      <w:pPr>
        <w:pStyle w:val="8"/>
        <w:spacing w:before="93"/>
        <w:rPr>
          <w:rFonts w:ascii="Times New Roman" w:eastAsia="方正小标宋简体"/>
          <w:kern w:val="2"/>
          <w:sz w:val="72"/>
          <w:szCs w:val="72"/>
        </w:rPr>
      </w:pPr>
      <w:bookmarkStart w:id="0" w:name="_Toc15396475"/>
      <w:bookmarkStart w:id="1" w:name="_Toc15377193"/>
      <w:bookmarkStart w:id="2" w:name="_Toc15378441"/>
      <w:bookmarkStart w:id="3" w:name="_Toc15377425"/>
      <w:bookmarkStart w:id="4" w:name="_Toc15396597"/>
      <w:bookmarkStart w:id="5" w:name="_Toc15306267"/>
    </w:p>
    <w:p w14:paraId="0FCEE394">
      <w:pPr>
        <w:pStyle w:val="8"/>
        <w:spacing w:before="93"/>
        <w:rPr>
          <w:rFonts w:ascii="Times New Roman" w:eastAsia="方正小标宋简体"/>
          <w:kern w:val="2"/>
          <w:sz w:val="72"/>
          <w:szCs w:val="72"/>
        </w:rPr>
      </w:pPr>
    </w:p>
    <w:p w14:paraId="0EFD6249">
      <w:pPr>
        <w:pStyle w:val="8"/>
        <w:spacing w:before="93"/>
        <w:rPr>
          <w:rFonts w:ascii="Times New Roman" w:eastAsia="方正小标宋简体"/>
          <w:kern w:val="2"/>
          <w:sz w:val="72"/>
          <w:szCs w:val="72"/>
        </w:rPr>
      </w:pPr>
    </w:p>
    <w:p w14:paraId="29B042DE">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ascii="方正小标宋简体" w:hAnsi="方正小标宋简体" w:eastAsia="方正小标宋简体" w:cs="方正小标宋简体"/>
          <w:sz w:val="72"/>
          <w:szCs w:val="72"/>
        </w:rPr>
        <w:t>4</w:t>
      </w:r>
      <w:r>
        <w:rPr>
          <w:rFonts w:hint="eastAsia" w:ascii="方正小标宋简体" w:hAnsi="方正小标宋简体" w:eastAsia="方正小标宋简体" w:cs="方正小标宋简体"/>
          <w:sz w:val="72"/>
          <w:szCs w:val="72"/>
        </w:rPr>
        <w:t>年度</w:t>
      </w:r>
    </w:p>
    <w:p w14:paraId="6A0208E6">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w:t>
      </w:r>
      <w:r>
        <w:rPr>
          <w:rFonts w:hint="eastAsia" w:ascii="方正小标宋简体" w:hAnsi="方正小标宋简体" w:eastAsia="方正小标宋简体" w:cs="方正小标宋简体"/>
          <w:sz w:val="72"/>
          <w:szCs w:val="72"/>
          <w:u w:val="dotted"/>
        </w:rPr>
        <w:t>西昌民族幼儿师范高等专科学校</w:t>
      </w:r>
      <w:r>
        <w:rPr>
          <w:rFonts w:hint="eastAsia" w:ascii="方正小标宋简体" w:hAnsi="方正小标宋简体" w:eastAsia="方正小标宋简体" w:cs="方正小标宋简体"/>
          <w:sz w:val="72"/>
          <w:szCs w:val="72"/>
        </w:rPr>
        <w:t>决算</w:t>
      </w:r>
    </w:p>
    <w:p w14:paraId="6B1C5FFB">
      <w:pPr>
        <w:spacing w:line="600" w:lineRule="exact"/>
        <w:jc w:val="center"/>
        <w:outlineLvl w:val="0"/>
        <w:rPr>
          <w:rFonts w:eastAsia="方正小标宋简体"/>
          <w:sz w:val="72"/>
          <w:szCs w:val="72"/>
        </w:rPr>
      </w:pPr>
    </w:p>
    <w:p w14:paraId="3A9B06C3">
      <w:pPr>
        <w:pStyle w:val="20"/>
        <w:rPr>
          <w:rFonts w:ascii="Times New Roman" w:hAnsi="Times New Roman"/>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85F33F0">
      <w:pPr>
        <w:widowControl/>
        <w:jc w:val="center"/>
        <w:rPr>
          <w:rFonts w:eastAsia="黑体"/>
          <w:sz w:val="48"/>
          <w:szCs w:val="48"/>
        </w:rPr>
      </w:pPr>
      <w:r>
        <w:rPr>
          <w:rFonts w:hint="eastAsia" w:eastAsia="黑体"/>
          <w:sz w:val="48"/>
          <w:szCs w:val="48"/>
        </w:rPr>
        <w:t>目录</w:t>
      </w:r>
    </w:p>
    <w:p w14:paraId="27587ADF">
      <w:pPr>
        <w:pStyle w:val="2"/>
        <w:ind w:left="420"/>
      </w:pPr>
    </w:p>
    <w:p w14:paraId="086E7A15">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公开时间：2025年9月2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日</w:t>
      </w:r>
    </w:p>
    <w:p w14:paraId="114E2C88"/>
    <w:p w14:paraId="7F0F1A05">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单位概况</w:t>
      </w:r>
    </w:p>
    <w:p w14:paraId="01663000">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一、主要职责</w:t>
      </w:r>
    </w:p>
    <w:p w14:paraId="484C1EFB">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p>
    <w:p w14:paraId="2B4D58C1">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2024年度单位决算情况说明</w:t>
      </w:r>
    </w:p>
    <w:p w14:paraId="5152B3B0">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p>
    <w:p w14:paraId="6CC43D07">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p>
    <w:p w14:paraId="3F662A6E">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p>
    <w:p w14:paraId="4D76A596">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p>
    <w:p w14:paraId="5BBB4D59">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14:paraId="3B9331B7">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14:paraId="18E6FFEA">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14:paraId="70F483F4">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14:paraId="6F77209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14:paraId="482987D6">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14:paraId="7C4CEDE3">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14:paraId="2E4F12CE">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14:paraId="2A912DB2">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14:paraId="1E92DCBC">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032ACE53">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1C39F835">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76F3C99E">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018AA45E">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3ED06844">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5C3CC26F">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21FBF770">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5A5058BB">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5768DDFE">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6D192DDD">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7A017A42">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25BC234D">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3DA2F50C">
      <w:pPr>
        <w:pStyle w:val="4"/>
        <w:numPr>
          <w:ilvl w:val="0"/>
          <w:numId w:val="1"/>
        </w:numPr>
        <w:jc w:val="center"/>
        <w:rPr>
          <w:rStyle w:val="29"/>
          <w:rFonts w:eastAsia="方正小标宋简体" w:cs="方正小标宋简体"/>
          <w:b/>
          <w:bCs/>
        </w:rPr>
        <w:sectPr>
          <w:footerReference r:id="rId9" w:type="first"/>
          <w:footerReference r:id="rId8" w:type="default"/>
          <w:pgSz w:w="11906" w:h="16838"/>
          <w:pgMar w:top="1440" w:right="1800" w:bottom="1440" w:left="1800" w:header="851" w:footer="992" w:gutter="0"/>
          <w:pgNumType w:fmt="upperRoman" w:start="1"/>
          <w:cols w:space="425" w:num="1"/>
          <w:titlePg/>
          <w:docGrid w:type="lines" w:linePitch="312" w:charSpace="0"/>
        </w:sectPr>
      </w:pPr>
      <w:bookmarkStart w:id="6" w:name="_Toc15396599"/>
      <w:bookmarkStart w:id="7" w:name="_Toc15377196"/>
    </w:p>
    <w:p w14:paraId="2F9FB06A">
      <w:pPr>
        <w:pStyle w:val="4"/>
        <w:numPr>
          <w:ilvl w:val="0"/>
          <w:numId w:val="1"/>
        </w:numPr>
        <w:jc w:val="center"/>
        <w:rPr>
          <w:rStyle w:val="29"/>
          <w:rFonts w:eastAsia="方正小标宋简体" w:cs="方正小标宋简体"/>
          <w:b w:val="0"/>
          <w:bCs w:val="0"/>
        </w:rPr>
      </w:pPr>
      <w:r>
        <w:rPr>
          <w:rFonts w:hint="eastAsia" w:eastAsia="方正小标宋简体" w:cs="方正小标宋简体"/>
          <w:b w:val="0"/>
        </w:rPr>
        <w:t xml:space="preserve"> </w:t>
      </w:r>
      <w:r>
        <w:rPr>
          <w:rStyle w:val="29"/>
          <w:rFonts w:hint="eastAsia" w:eastAsia="方正小标宋简体" w:cs="方正小标宋简体"/>
          <w:b w:val="0"/>
          <w:bCs w:val="0"/>
        </w:rPr>
        <w:t>单位概况</w:t>
      </w:r>
      <w:bookmarkEnd w:id="6"/>
      <w:bookmarkEnd w:id="7"/>
    </w:p>
    <w:p w14:paraId="1C3FB14B"/>
    <w:p w14:paraId="52815B78">
      <w:pPr>
        <w:pStyle w:val="5"/>
        <w:rPr>
          <w:rFonts w:hint="eastAsia" w:ascii="仿宋" w:hAnsi="仿宋" w:eastAsia="楷体_GB2312"/>
        </w:rPr>
      </w:pPr>
      <w:bookmarkStart w:id="8" w:name="_Toc15396600"/>
      <w:bookmarkStart w:id="9" w:name="_Toc15377197"/>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14:paraId="479EE08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西昌民族幼专是由凉山州人民政府举办、授权凉山州教育和体育局管理的公益二类事业单位。其主要职能是培养高等专科层次及以上学历人才，促进科技教育和文化发展。主要培养小学、幼儿园师资，同时承担职业教育任务以及相关的科学研究、专业培训、继续教育和学术交流活动。</w:t>
      </w:r>
    </w:p>
    <w:p w14:paraId="3518CEB9">
      <w:pPr>
        <w:pStyle w:val="2"/>
        <w:ind w:left="420"/>
      </w:pPr>
    </w:p>
    <w:p w14:paraId="13BF58B7">
      <w:pPr>
        <w:pStyle w:val="5"/>
        <w:rPr>
          <w:rStyle w:val="30"/>
          <w:rFonts w:ascii="Times New Roman" w:hAnsi="Times New Roman"/>
          <w:b w:val="0"/>
          <w:bCs w:val="0"/>
        </w:rPr>
      </w:pPr>
      <w:bookmarkStart w:id="10" w:name="_Toc15377200"/>
      <w:bookmarkStart w:id="11"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p>
    <w:p w14:paraId="2EBB1F3A">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西昌民族幼专属一级预算单位，内设党政管理机构12个，具体是：党政办公室、组织人事处、宣传统战部、学生工作处、安全保卫处（武装部）、纪检监察审计处、教务处、教师发展与质量评估处、科技与合作交流处、计划财务处、后勤与国资管理处、招生就业处。群团组织2个，具体是：团委和工会。教学和教学辅助机构8个，具体是：学前教育系、小学教育系、艺术教育系、职业教育系、马克思主义学院、基础教学部、图书馆（档案馆）、信息中心</w:t>
      </w:r>
      <w:r>
        <w:rPr>
          <w:rFonts w:hint="eastAsia" w:ascii="仿宋" w:hAnsi="仿宋" w:eastAsia="仿宋"/>
          <w:sz w:val="32"/>
          <w:szCs w:val="32"/>
          <w:lang w:eastAsia="zh-CN"/>
        </w:rPr>
        <w:t>（信息技术系）</w:t>
      </w:r>
      <w:r>
        <w:rPr>
          <w:rFonts w:hint="eastAsia" w:ascii="仿宋" w:hAnsi="仿宋" w:eastAsia="仿宋"/>
          <w:sz w:val="32"/>
          <w:szCs w:val="32"/>
        </w:rPr>
        <w:t>。共有在职人员407人，其中：事业编制内在职人员362人、编制外人员45人。</w:t>
      </w:r>
    </w:p>
    <w:p w14:paraId="5BA9B721">
      <w:pPr>
        <w:spacing w:line="600" w:lineRule="exact"/>
        <w:ind w:firstLine="640" w:firstLineChars="200"/>
        <w:rPr>
          <w:rFonts w:hint="eastAsia" w:ascii="仿宋" w:hAnsi="仿宋" w:eastAsia="仿宋"/>
          <w:sz w:val="32"/>
          <w:szCs w:val="32"/>
        </w:rPr>
      </w:pPr>
    </w:p>
    <w:p w14:paraId="18E35CA2">
      <w:pPr>
        <w:widowControl/>
        <w:jc w:val="left"/>
        <w:rPr>
          <w:rFonts w:eastAsia="仿宋"/>
          <w:kern w:val="0"/>
          <w:sz w:val="32"/>
          <w:szCs w:val="32"/>
        </w:rPr>
      </w:pPr>
      <w:r>
        <w:rPr>
          <w:rFonts w:eastAsia="仿宋"/>
          <w:sz w:val="32"/>
          <w:szCs w:val="32"/>
        </w:rPr>
        <w:br w:type="page"/>
      </w:r>
    </w:p>
    <w:p w14:paraId="65657F0D">
      <w:pPr>
        <w:pStyle w:val="4"/>
        <w:jc w:val="center"/>
      </w:pPr>
      <w:bookmarkStart w:id="12" w:name="_Toc15377204"/>
      <w:bookmarkStart w:id="13" w:name="_Toc15396602"/>
      <w:r>
        <w:rPr>
          <w:rFonts w:hint="eastAsia" w:eastAsia="方正小标宋简体" w:cs="方正小标宋简体"/>
          <w:b w:val="0"/>
        </w:rPr>
        <w:t>第二部分  2024年度单位决算情况说明</w:t>
      </w:r>
      <w:bookmarkEnd w:id="12"/>
      <w:bookmarkEnd w:id="13"/>
    </w:p>
    <w:p w14:paraId="01C80B84">
      <w:pPr>
        <w:pStyle w:val="28"/>
        <w:spacing w:line="600" w:lineRule="exact"/>
        <w:ind w:firstLine="640"/>
        <w:outlineLvl w:val="1"/>
        <w:rPr>
          <w:rStyle w:val="30"/>
          <w:rFonts w:ascii="Times New Roman" w:hAnsi="Times New Roman" w:eastAsia="黑体"/>
          <w:b w:val="0"/>
        </w:rPr>
      </w:pPr>
      <w:bookmarkStart w:id="14" w:name="_Toc15377205"/>
      <w:bookmarkStart w:id="15"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p>
    <w:p w14:paraId="726E68BE">
      <w:pPr>
        <w:pStyle w:val="3"/>
        <w:ind w:left="0" w:leftChars="0" w:firstLine="420" w:firstLineChars="200"/>
        <w:rPr>
          <w:rFonts w:eastAsia="仿宋_GB2312" w:cs="仿宋_GB2312"/>
          <w:color w:val="0000FF"/>
          <w:sz w:val="32"/>
        </w:rPr>
      </w:pPr>
      <w:r>
        <w:drawing>
          <wp:anchor distT="0" distB="0" distL="114935" distR="114935" simplePos="0" relativeHeight="251660288" behindDoc="1" locked="0" layoutInCell="1" allowOverlap="0">
            <wp:simplePos x="0" y="0"/>
            <wp:positionH relativeFrom="column">
              <wp:posOffset>38100</wp:posOffset>
            </wp:positionH>
            <wp:positionV relativeFrom="page">
              <wp:posOffset>6470650</wp:posOffset>
            </wp:positionV>
            <wp:extent cx="5248275" cy="3215005"/>
            <wp:effectExtent l="4445" t="4445" r="5080" b="1905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rPr>
        <w:t>2024年度收入、支出总计均为</w:t>
      </w:r>
      <w:r>
        <w:rPr>
          <w:rFonts w:hint="eastAsia" w:eastAsia="仿宋_GB2312" w:cs="仿宋_GB2312"/>
          <w:b/>
          <w:bCs/>
          <w:sz w:val="32"/>
        </w:rPr>
        <w:t>21661.65</w:t>
      </w:r>
      <w:r>
        <w:rPr>
          <w:rFonts w:hint="eastAsia" w:eastAsia="仿宋_GB2312" w:cs="仿宋_GB2312"/>
          <w:sz w:val="32"/>
        </w:rPr>
        <w:t>万元。与2023年度相比，收入、支出总计各减少7110.06万元，下降24.71%。其中：</w:t>
      </w:r>
      <w:r>
        <w:rPr>
          <w:rFonts w:hint="eastAsia" w:eastAsia="仿宋_GB2312" w:cs="仿宋_GB2312"/>
          <w:color w:val="auto"/>
          <w:sz w:val="32"/>
        </w:rPr>
        <w:t>一般公共预算财政拨款减少1924.95万元，政府性基金预算财政拨款减少5800万元，事业收入增加499.23万元，其他收入增加63.79万元，结转结余部分增加51.87万元。主要变动原因</w:t>
      </w:r>
      <w:r>
        <w:rPr>
          <w:rFonts w:hint="eastAsia" w:eastAsia="仿宋_GB2312" w:cs="仿宋_GB2312"/>
          <w:color w:val="auto"/>
          <w:sz w:val="32"/>
          <w:lang w:eastAsia="zh-CN"/>
        </w:rPr>
        <w:t>：</w:t>
      </w:r>
      <w:r>
        <w:rPr>
          <w:rFonts w:hint="eastAsia" w:eastAsia="仿宋_GB2312" w:cs="仿宋_GB2312"/>
          <w:color w:val="auto"/>
          <w:sz w:val="32"/>
          <w:lang w:val="en-US" w:eastAsia="zh-CN"/>
        </w:rPr>
        <w:t>一</w:t>
      </w:r>
      <w:r>
        <w:rPr>
          <w:rFonts w:hint="eastAsia" w:eastAsia="仿宋_GB2312" w:cs="仿宋_GB2312"/>
          <w:color w:val="auto"/>
          <w:sz w:val="32"/>
        </w:rPr>
        <w:t>是本年专项资金下达</w:t>
      </w:r>
      <w:r>
        <w:rPr>
          <w:rFonts w:hint="eastAsia" w:eastAsia="仿宋_GB2312" w:cs="仿宋_GB2312"/>
          <w:color w:val="auto"/>
          <w:sz w:val="32"/>
          <w:lang w:val="en-US" w:eastAsia="zh-CN"/>
        </w:rPr>
        <w:t>经费</w:t>
      </w:r>
      <w:r>
        <w:rPr>
          <w:rFonts w:hint="eastAsia" w:eastAsia="仿宋_GB2312" w:cs="仿宋_GB2312"/>
          <w:color w:val="auto"/>
          <w:sz w:val="32"/>
        </w:rPr>
        <w:t>减少且上年结转减少，使一般公共预算财政拨款减少；</w:t>
      </w:r>
      <w:r>
        <w:rPr>
          <w:rFonts w:hint="eastAsia" w:eastAsia="仿宋_GB2312" w:cs="仿宋_GB2312"/>
          <w:color w:val="auto"/>
          <w:sz w:val="32"/>
          <w:lang w:val="en-US" w:eastAsia="zh-CN"/>
        </w:rPr>
        <w:t>二是</w:t>
      </w:r>
      <w:r>
        <w:rPr>
          <w:rFonts w:hint="eastAsia" w:eastAsia="仿宋_GB2312" w:cs="仿宋_GB2312"/>
          <w:color w:val="auto"/>
          <w:sz w:val="32"/>
        </w:rPr>
        <w:t>州财政局拨付凉发展专项债券化解隐形债务</w:t>
      </w:r>
      <w:r>
        <w:rPr>
          <w:rFonts w:hint="eastAsia" w:eastAsia="仿宋_GB2312" w:cs="仿宋_GB2312"/>
          <w:color w:val="auto"/>
          <w:sz w:val="32"/>
          <w:lang w:val="en-US" w:eastAsia="zh-CN"/>
        </w:rPr>
        <w:t>经费</w:t>
      </w:r>
      <w:r>
        <w:rPr>
          <w:rFonts w:hint="eastAsia" w:eastAsia="仿宋_GB2312" w:cs="仿宋_GB2312"/>
          <w:color w:val="auto"/>
          <w:sz w:val="32"/>
        </w:rPr>
        <w:t>减少，使政府性基金预算财政拨款减少；</w:t>
      </w:r>
      <w:r>
        <w:rPr>
          <w:rFonts w:hint="eastAsia" w:eastAsia="仿宋_GB2312" w:cs="仿宋_GB2312"/>
          <w:color w:val="auto"/>
          <w:sz w:val="32"/>
          <w:lang w:val="en-US" w:eastAsia="zh-CN"/>
        </w:rPr>
        <w:t>三是</w:t>
      </w:r>
      <w:r>
        <w:rPr>
          <w:rFonts w:hint="eastAsia" w:hAnsi="仿宋" w:eastAsia="仿宋_GB2312" w:cs="宋体"/>
          <w:color w:val="auto"/>
          <w:sz w:val="32"/>
        </w:rPr>
        <w:t>学生学费实行新收费标准，使</w:t>
      </w:r>
      <w:r>
        <w:rPr>
          <w:rFonts w:hint="eastAsia" w:eastAsia="仿宋_GB2312" w:cs="仿宋_GB2312"/>
          <w:color w:val="auto"/>
          <w:sz w:val="32"/>
        </w:rPr>
        <w:t>事业收入增加；</w:t>
      </w:r>
      <w:r>
        <w:rPr>
          <w:rFonts w:hint="eastAsia" w:eastAsia="仿宋_GB2312" w:cs="仿宋_GB2312"/>
          <w:color w:val="auto"/>
          <w:sz w:val="32"/>
          <w:lang w:val="en-US" w:eastAsia="zh-CN"/>
        </w:rPr>
        <w:t>四是</w:t>
      </w:r>
      <w:r>
        <w:rPr>
          <w:rFonts w:hint="eastAsia" w:hAnsi="仿宋" w:eastAsia="仿宋_GB2312" w:cs="宋体"/>
          <w:color w:val="auto"/>
          <w:sz w:val="32"/>
        </w:rPr>
        <w:t>收到凉山州财政局下拨学校上缴考试考务费，使</w:t>
      </w:r>
      <w:r>
        <w:rPr>
          <w:rFonts w:hint="eastAsia" w:eastAsia="仿宋_GB2312" w:cs="仿宋_GB2312"/>
          <w:color w:val="auto"/>
          <w:sz w:val="32"/>
        </w:rPr>
        <w:t>其他收入增加。</w:t>
      </w:r>
    </w:p>
    <w:p w14:paraId="10B53E29">
      <w:pPr>
        <w:pStyle w:val="3"/>
        <w:ind w:left="0" w:leftChars="0" w:firstLine="640" w:firstLineChars="200"/>
        <w:rPr>
          <w:rFonts w:eastAsia="仿宋_GB2312" w:cs="仿宋_GB2312"/>
          <w:sz w:val="32"/>
        </w:rPr>
      </w:pPr>
    </w:p>
    <w:p w14:paraId="141E5C20">
      <w:pPr>
        <w:pStyle w:val="3"/>
        <w:ind w:left="0" w:leftChars="0" w:firstLine="640" w:firstLineChars="200"/>
        <w:rPr>
          <w:rFonts w:eastAsia="仿宋_GB2312" w:cs="仿宋_GB2312"/>
          <w:sz w:val="32"/>
        </w:rPr>
      </w:pPr>
    </w:p>
    <w:p w14:paraId="6BC0F810">
      <w:pPr>
        <w:pStyle w:val="3"/>
        <w:ind w:left="0" w:leftChars="0" w:firstLine="640" w:firstLineChars="200"/>
        <w:rPr>
          <w:rFonts w:eastAsia="仿宋_GB2312" w:cs="仿宋_GB2312"/>
          <w:sz w:val="32"/>
        </w:rPr>
      </w:pPr>
    </w:p>
    <w:p w14:paraId="64F95FBE">
      <w:pPr>
        <w:pStyle w:val="3"/>
        <w:ind w:left="0" w:leftChars="0" w:firstLine="640" w:firstLineChars="200"/>
        <w:rPr>
          <w:rFonts w:eastAsia="仿宋_GB2312" w:cs="仿宋_GB2312"/>
          <w:sz w:val="32"/>
        </w:rPr>
      </w:pPr>
    </w:p>
    <w:p w14:paraId="4DDAE572">
      <w:pPr>
        <w:pStyle w:val="28"/>
        <w:spacing w:line="600" w:lineRule="exact"/>
        <w:ind w:firstLine="0" w:firstLineChars="0"/>
        <w:outlineLvl w:val="1"/>
      </w:pPr>
    </w:p>
    <w:p w14:paraId="61A1360E">
      <w:pPr>
        <w:pStyle w:val="28"/>
        <w:spacing w:line="600" w:lineRule="exact"/>
        <w:ind w:firstLine="0" w:firstLineChars="0"/>
        <w:outlineLvl w:val="1"/>
        <w:rPr>
          <w:rFonts w:eastAsia="仿宋_GB2312" w:cs="仿宋_GB2312"/>
          <w:sz w:val="32"/>
          <w:szCs w:val="32"/>
        </w:rPr>
      </w:pPr>
    </w:p>
    <w:p w14:paraId="00A3A9A8">
      <w:pPr>
        <w:rPr>
          <w:rFonts w:eastAsia="仿宋_GB2312" w:cs="仿宋_GB2312"/>
          <w:sz w:val="32"/>
          <w:szCs w:val="32"/>
        </w:rPr>
      </w:pPr>
    </w:p>
    <w:p w14:paraId="21B03B18">
      <w:pPr>
        <w:jc w:val="center"/>
        <w:rPr>
          <w:rFonts w:eastAsia="仿宋_GB2312" w:cs="仿宋_GB2312"/>
          <w:sz w:val="32"/>
          <w:szCs w:val="32"/>
        </w:rPr>
      </w:pPr>
      <w:r>
        <w:rPr>
          <w:rFonts w:hint="eastAsia" w:eastAsia="仿宋_GB2312" w:cs="仿宋_GB2312"/>
          <w:sz w:val="32"/>
          <w:szCs w:val="32"/>
        </w:rPr>
        <w:t>图1：收支决算总计变动情况图</w:t>
      </w:r>
    </w:p>
    <w:p w14:paraId="00D7CFE1">
      <w:pPr>
        <w:pStyle w:val="2"/>
        <w:ind w:left="420"/>
      </w:pPr>
    </w:p>
    <w:p w14:paraId="724EA6A4">
      <w:pPr>
        <w:pStyle w:val="28"/>
        <w:spacing w:line="600" w:lineRule="exact"/>
        <w:ind w:firstLine="640"/>
        <w:outlineLvl w:val="1"/>
        <w:rPr>
          <w:rFonts w:eastAsia="黑体"/>
          <w:sz w:val="32"/>
          <w:szCs w:val="32"/>
        </w:rPr>
      </w:pPr>
      <w:bookmarkStart w:id="16" w:name="_Toc15396604"/>
      <w:bookmarkStart w:id="17" w:name="_Toc15377206"/>
      <w:r>
        <w:rPr>
          <w:rFonts w:hint="eastAsia" w:eastAsia="黑体"/>
          <w:sz w:val="32"/>
          <w:szCs w:val="32"/>
        </w:rPr>
        <w:t>二、收入决算情况说明</w:t>
      </w:r>
      <w:bookmarkEnd w:id="16"/>
      <w:bookmarkEnd w:id="17"/>
    </w:p>
    <w:p w14:paraId="4E5BD71B">
      <w:pPr>
        <w:pStyle w:val="28"/>
        <w:spacing w:line="600" w:lineRule="exact"/>
        <w:ind w:firstLine="64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b/>
          <w:bCs/>
          <w:sz w:val="32"/>
          <w:szCs w:val="32"/>
        </w:rPr>
        <w:t>21466.57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b/>
          <w:bCs/>
          <w:sz w:val="32"/>
          <w:szCs w:val="32"/>
        </w:rPr>
        <w:t>10796.41</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50.29</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b/>
          <w:bCs/>
          <w:sz w:val="32"/>
          <w:szCs w:val="32"/>
        </w:rPr>
        <w:t>6800</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31.68</w:t>
      </w:r>
      <w:r>
        <w:rPr>
          <w:rFonts w:hint="eastAsia" w:ascii="仿宋_GB2312" w:hAnsi="仿宋_GB2312" w:eastAsia="仿宋_GB2312" w:cs="仿宋_GB2312"/>
          <w:sz w:val="32"/>
          <w:szCs w:val="32"/>
        </w:rPr>
        <w:t>%；事业收入</w:t>
      </w:r>
      <w:r>
        <w:rPr>
          <w:rFonts w:hint="eastAsia" w:ascii="仿宋_GB2312" w:hAnsi="仿宋_GB2312" w:eastAsia="仿宋_GB2312" w:cs="仿宋_GB2312"/>
          <w:b/>
          <w:bCs/>
          <w:sz w:val="32"/>
          <w:szCs w:val="32"/>
        </w:rPr>
        <w:t>3618.49</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16.86</w:t>
      </w:r>
      <w:r>
        <w:rPr>
          <w:rFonts w:hint="eastAsia" w:ascii="仿宋_GB2312" w:hAnsi="仿宋_GB2312" w:eastAsia="仿宋_GB2312" w:cs="仿宋_GB2312"/>
          <w:sz w:val="32"/>
          <w:szCs w:val="32"/>
        </w:rPr>
        <w:t>%；其他收入</w:t>
      </w:r>
      <w:r>
        <w:rPr>
          <w:rFonts w:hint="eastAsia" w:ascii="仿宋_GB2312" w:hAnsi="仿宋_GB2312" w:eastAsia="仿宋_GB2312" w:cs="仿宋_GB2312"/>
          <w:b/>
          <w:bCs/>
          <w:sz w:val="32"/>
          <w:szCs w:val="32"/>
        </w:rPr>
        <w:t>251.67</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1.17</w:t>
      </w:r>
      <w:r>
        <w:rPr>
          <w:rFonts w:hint="eastAsia" w:ascii="仿宋_GB2312" w:hAnsi="仿宋_GB2312" w:eastAsia="仿宋_GB2312" w:cs="仿宋_GB2312"/>
          <w:sz w:val="32"/>
          <w:szCs w:val="32"/>
        </w:rPr>
        <w:t>%。</w:t>
      </w:r>
    </w:p>
    <w:p w14:paraId="3457F542">
      <w:pPr>
        <w:pStyle w:val="28"/>
        <w:spacing w:line="600" w:lineRule="exact"/>
        <w:ind w:firstLine="640"/>
        <w:outlineLvl w:val="1"/>
        <w:rPr>
          <w:rFonts w:hint="eastAsia" w:ascii="仿宋_GB2312" w:hAnsi="仿宋_GB2312" w:eastAsia="仿宋_GB2312" w:cs="仿宋_GB2312"/>
          <w:sz w:val="32"/>
          <w:szCs w:val="32"/>
        </w:rPr>
      </w:pPr>
    </w:p>
    <w:p w14:paraId="2D68C5A3">
      <w:pPr>
        <w:pStyle w:val="28"/>
        <w:spacing w:line="600" w:lineRule="exact"/>
        <w:ind w:firstLine="0" w:firstLineChars="0"/>
        <w:jc w:val="left"/>
        <w:outlineLvl w:val="1"/>
        <w:rPr>
          <w:rFonts w:hint="eastAsia" w:ascii="仿宋_GB2312" w:hAnsi="仿宋_GB2312" w:eastAsia="仿宋_GB2312" w:cs="仿宋_GB2312"/>
          <w:sz w:val="32"/>
          <w:szCs w:val="32"/>
        </w:rPr>
      </w:pPr>
      <w:r>
        <w:drawing>
          <wp:anchor distT="0" distB="0" distL="114300" distR="114300" simplePos="0" relativeHeight="251661312" behindDoc="1" locked="0" layoutInCell="1" allowOverlap="1">
            <wp:simplePos x="0" y="0"/>
            <wp:positionH relativeFrom="column">
              <wp:posOffset>147955</wp:posOffset>
            </wp:positionH>
            <wp:positionV relativeFrom="paragraph">
              <wp:posOffset>30480</wp:posOffset>
            </wp:positionV>
            <wp:extent cx="5175250" cy="3418840"/>
            <wp:effectExtent l="0" t="0" r="6350" b="1016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772BDD5">
      <w:pPr>
        <w:pStyle w:val="28"/>
        <w:spacing w:line="600" w:lineRule="exact"/>
        <w:ind w:firstLine="0" w:firstLineChars="0"/>
        <w:jc w:val="left"/>
        <w:outlineLvl w:val="1"/>
        <w:rPr>
          <w:rFonts w:hint="eastAsia" w:ascii="仿宋_GB2312" w:hAnsi="仿宋_GB2312" w:eastAsia="仿宋_GB2312" w:cs="仿宋_GB2312"/>
          <w:sz w:val="32"/>
          <w:szCs w:val="32"/>
        </w:rPr>
      </w:pPr>
    </w:p>
    <w:p w14:paraId="77E95005">
      <w:pPr>
        <w:pStyle w:val="28"/>
        <w:spacing w:line="600" w:lineRule="exact"/>
        <w:ind w:firstLine="0" w:firstLineChars="0"/>
        <w:jc w:val="left"/>
        <w:outlineLvl w:val="1"/>
        <w:rPr>
          <w:rFonts w:hint="eastAsia" w:ascii="仿宋_GB2312" w:hAnsi="仿宋_GB2312" w:eastAsia="仿宋_GB2312" w:cs="仿宋_GB2312"/>
          <w:sz w:val="32"/>
          <w:szCs w:val="32"/>
        </w:rPr>
      </w:pPr>
    </w:p>
    <w:p w14:paraId="4CAFC022">
      <w:pPr>
        <w:pStyle w:val="28"/>
        <w:spacing w:line="600" w:lineRule="exact"/>
        <w:ind w:firstLine="0" w:firstLineChars="0"/>
        <w:jc w:val="left"/>
        <w:outlineLvl w:val="1"/>
        <w:rPr>
          <w:rFonts w:hint="eastAsia" w:ascii="仿宋_GB2312" w:hAnsi="仿宋_GB2312" w:eastAsia="仿宋_GB2312" w:cs="仿宋_GB2312"/>
          <w:sz w:val="32"/>
          <w:szCs w:val="32"/>
        </w:rPr>
      </w:pPr>
    </w:p>
    <w:p w14:paraId="0D6ABCFC">
      <w:pPr>
        <w:pStyle w:val="28"/>
        <w:spacing w:line="600" w:lineRule="exact"/>
        <w:ind w:firstLine="0" w:firstLineChars="0"/>
        <w:jc w:val="left"/>
        <w:outlineLvl w:val="1"/>
        <w:rPr>
          <w:rFonts w:hint="eastAsia" w:ascii="仿宋_GB2312" w:hAnsi="仿宋_GB2312" w:eastAsia="仿宋_GB2312" w:cs="仿宋_GB2312"/>
          <w:sz w:val="32"/>
          <w:szCs w:val="32"/>
        </w:rPr>
      </w:pPr>
    </w:p>
    <w:p w14:paraId="52E0C0D9">
      <w:pPr>
        <w:rPr>
          <w:rFonts w:eastAsia="仿宋_GB2312" w:cs="仿宋_GB2312"/>
          <w:sz w:val="32"/>
          <w:szCs w:val="32"/>
        </w:rPr>
      </w:pPr>
    </w:p>
    <w:p w14:paraId="1353329B">
      <w:pPr>
        <w:pStyle w:val="2"/>
        <w:ind w:left="420"/>
      </w:pPr>
    </w:p>
    <w:p w14:paraId="79C91BC1">
      <w:pPr>
        <w:pStyle w:val="2"/>
        <w:ind w:left="420"/>
      </w:pPr>
    </w:p>
    <w:p w14:paraId="333AA4D7">
      <w:pPr>
        <w:jc w:val="center"/>
        <w:rPr>
          <w:rFonts w:eastAsia="仿宋_GB2312" w:cs="仿宋_GB2312"/>
          <w:sz w:val="32"/>
          <w:szCs w:val="32"/>
        </w:rPr>
      </w:pPr>
    </w:p>
    <w:p w14:paraId="6BD28AF8">
      <w:pPr>
        <w:jc w:val="center"/>
        <w:rPr>
          <w:rFonts w:eastAsia="仿宋_GB2312" w:cs="仿宋_GB2312"/>
          <w:sz w:val="32"/>
          <w:szCs w:val="32"/>
        </w:rPr>
      </w:pPr>
    </w:p>
    <w:p w14:paraId="072A3526">
      <w:pPr>
        <w:jc w:val="center"/>
        <w:rPr>
          <w:rFonts w:eastAsia="仿宋_GB2312" w:cs="仿宋_GB2312"/>
          <w:sz w:val="32"/>
          <w:szCs w:val="32"/>
        </w:rPr>
      </w:pPr>
      <w:r>
        <w:rPr>
          <w:rFonts w:hint="eastAsia" w:eastAsia="仿宋_GB2312" w:cs="仿宋_GB2312"/>
          <w:sz w:val="32"/>
          <w:szCs w:val="32"/>
        </w:rPr>
        <w:t>图2：收入决算结构图</w:t>
      </w:r>
    </w:p>
    <w:p w14:paraId="79459964">
      <w:pPr>
        <w:pStyle w:val="2"/>
        <w:ind w:left="420"/>
      </w:pPr>
    </w:p>
    <w:p w14:paraId="7E1A8012">
      <w:pPr>
        <w:pStyle w:val="28"/>
        <w:spacing w:line="600" w:lineRule="exact"/>
        <w:ind w:firstLine="640"/>
        <w:outlineLvl w:val="1"/>
        <w:rPr>
          <w:rStyle w:val="30"/>
          <w:rFonts w:ascii="Times New Roman" w:hAnsi="Times New Roman" w:eastAsia="黑体"/>
          <w:b w:val="0"/>
        </w:rPr>
      </w:pPr>
      <w:bookmarkStart w:id="18" w:name="_Toc15396605"/>
      <w:bookmarkStart w:id="19" w:name="_Toc15377207"/>
      <w:r>
        <w:rPr>
          <w:rFonts w:hint="eastAsia" w:eastAsia="黑体"/>
          <w:sz w:val="32"/>
          <w:szCs w:val="32"/>
        </w:rPr>
        <w:t>三、支</w:t>
      </w:r>
      <w:r>
        <w:rPr>
          <w:rStyle w:val="30"/>
          <w:rFonts w:hint="eastAsia" w:ascii="Times New Roman" w:hAnsi="Times New Roman" w:eastAsia="黑体"/>
          <w:b w:val="0"/>
        </w:rPr>
        <w:t>出决算情况说明</w:t>
      </w:r>
      <w:bookmarkEnd w:id="18"/>
      <w:bookmarkEnd w:id="19"/>
    </w:p>
    <w:p w14:paraId="548997F2">
      <w:pPr>
        <w:pStyle w:val="28"/>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b/>
          <w:bCs/>
          <w:sz w:val="32"/>
          <w:szCs w:val="32"/>
        </w:rPr>
        <w:t>21481.98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b/>
          <w:bCs/>
          <w:sz w:val="32"/>
          <w:szCs w:val="32"/>
        </w:rPr>
        <w:t>9448.33</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43.98%</w:t>
      </w:r>
      <w:r>
        <w:rPr>
          <w:rFonts w:hint="eastAsia" w:ascii="仿宋_GB2312" w:hAnsi="仿宋_GB2312" w:eastAsia="仿宋_GB2312" w:cs="仿宋_GB2312"/>
          <w:sz w:val="32"/>
          <w:szCs w:val="32"/>
        </w:rPr>
        <w:t>（其中：人员经费支出8803.4万元，占93.17%，公用经费支出644.93万元，占6.83%）；项目支出</w:t>
      </w:r>
      <w:r>
        <w:rPr>
          <w:rFonts w:hint="eastAsia" w:ascii="仿宋_GB2312" w:hAnsi="仿宋_GB2312" w:eastAsia="仿宋_GB2312" w:cs="仿宋_GB2312"/>
          <w:b/>
          <w:bCs/>
          <w:sz w:val="32"/>
          <w:szCs w:val="32"/>
        </w:rPr>
        <w:t>12033.65</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56.02</w:t>
      </w:r>
      <w:r>
        <w:rPr>
          <w:rFonts w:hint="eastAsia" w:ascii="仿宋_GB2312" w:hAnsi="仿宋_GB2312" w:eastAsia="仿宋_GB2312" w:cs="仿宋_GB2312"/>
          <w:sz w:val="32"/>
          <w:szCs w:val="32"/>
        </w:rPr>
        <w:t>%。</w:t>
      </w:r>
    </w:p>
    <w:p w14:paraId="3D9707AA">
      <w:pPr>
        <w:pStyle w:val="28"/>
        <w:spacing w:line="600" w:lineRule="exact"/>
        <w:ind w:firstLine="0" w:firstLineChars="0"/>
        <w:jc w:val="center"/>
        <w:outlineLvl w:val="1"/>
        <w:rPr>
          <w:rFonts w:hint="eastAsia" w:ascii="仿宋_GB2312" w:hAnsi="仿宋_GB2312" w:eastAsia="仿宋_GB2312" w:cs="仿宋_GB2312"/>
          <w:sz w:val="32"/>
          <w:szCs w:val="32"/>
        </w:rPr>
      </w:pPr>
      <w:r>
        <w:drawing>
          <wp:anchor distT="0" distB="0" distL="114300" distR="114300" simplePos="0" relativeHeight="251662336" behindDoc="1" locked="0" layoutInCell="1" allowOverlap="1">
            <wp:simplePos x="0" y="0"/>
            <wp:positionH relativeFrom="margin">
              <wp:posOffset>186055</wp:posOffset>
            </wp:positionH>
            <wp:positionV relativeFrom="paragraph">
              <wp:posOffset>224790</wp:posOffset>
            </wp:positionV>
            <wp:extent cx="4976495" cy="3434715"/>
            <wp:effectExtent l="0" t="0" r="14605" b="1333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60DDC0C">
      <w:pPr>
        <w:pStyle w:val="28"/>
        <w:spacing w:line="600" w:lineRule="exact"/>
        <w:ind w:firstLine="0" w:firstLineChars="0"/>
        <w:jc w:val="center"/>
        <w:outlineLvl w:val="1"/>
        <w:rPr>
          <w:rFonts w:hint="eastAsia" w:ascii="仿宋_GB2312" w:hAnsi="仿宋_GB2312" w:eastAsia="仿宋_GB2312" w:cs="仿宋_GB2312"/>
          <w:sz w:val="32"/>
          <w:szCs w:val="32"/>
        </w:rPr>
      </w:pPr>
    </w:p>
    <w:p w14:paraId="3CBFA9A7">
      <w:pPr>
        <w:pStyle w:val="28"/>
        <w:spacing w:line="600" w:lineRule="exact"/>
        <w:ind w:firstLine="0" w:firstLineChars="0"/>
        <w:jc w:val="center"/>
        <w:outlineLvl w:val="1"/>
        <w:rPr>
          <w:rFonts w:hint="eastAsia" w:ascii="仿宋_GB2312" w:hAnsi="仿宋_GB2312" w:eastAsia="仿宋_GB2312" w:cs="仿宋_GB2312"/>
          <w:sz w:val="32"/>
          <w:szCs w:val="32"/>
        </w:rPr>
      </w:pPr>
    </w:p>
    <w:p w14:paraId="1FDC37B9">
      <w:pPr>
        <w:pStyle w:val="28"/>
        <w:spacing w:line="600" w:lineRule="exact"/>
        <w:ind w:firstLine="0" w:firstLineChars="0"/>
        <w:jc w:val="center"/>
        <w:outlineLvl w:val="1"/>
        <w:rPr>
          <w:rFonts w:hint="eastAsia" w:ascii="仿宋_GB2312" w:hAnsi="仿宋_GB2312" w:eastAsia="仿宋_GB2312" w:cs="仿宋_GB2312"/>
          <w:sz w:val="32"/>
          <w:szCs w:val="32"/>
        </w:rPr>
      </w:pPr>
    </w:p>
    <w:p w14:paraId="5E5275B1">
      <w:pPr>
        <w:rPr>
          <w:rFonts w:eastAsia="仿宋_GB2312" w:cs="仿宋_GB2312"/>
          <w:sz w:val="32"/>
          <w:szCs w:val="32"/>
        </w:rPr>
      </w:pPr>
    </w:p>
    <w:p w14:paraId="1C79FE11">
      <w:pPr>
        <w:pStyle w:val="2"/>
        <w:ind w:left="420"/>
      </w:pPr>
    </w:p>
    <w:p w14:paraId="0F1481D5">
      <w:pPr>
        <w:jc w:val="center"/>
        <w:rPr>
          <w:rFonts w:eastAsia="仿宋_GB2312" w:cs="仿宋_GB2312"/>
          <w:sz w:val="32"/>
          <w:szCs w:val="32"/>
        </w:rPr>
      </w:pPr>
    </w:p>
    <w:p w14:paraId="20C58FF0">
      <w:pPr>
        <w:jc w:val="center"/>
        <w:rPr>
          <w:rFonts w:eastAsia="仿宋_GB2312" w:cs="仿宋_GB2312"/>
          <w:sz w:val="32"/>
          <w:szCs w:val="32"/>
        </w:rPr>
      </w:pPr>
    </w:p>
    <w:p w14:paraId="562FAF92">
      <w:pPr>
        <w:jc w:val="center"/>
        <w:rPr>
          <w:rFonts w:eastAsia="仿宋_GB2312" w:cs="仿宋_GB2312"/>
          <w:sz w:val="32"/>
          <w:szCs w:val="32"/>
        </w:rPr>
      </w:pPr>
    </w:p>
    <w:p w14:paraId="7E6F5584">
      <w:pPr>
        <w:jc w:val="center"/>
        <w:rPr>
          <w:rFonts w:eastAsia="仿宋_GB2312" w:cs="仿宋_GB2312"/>
          <w:sz w:val="32"/>
          <w:szCs w:val="32"/>
        </w:rPr>
      </w:pPr>
    </w:p>
    <w:p w14:paraId="1030B539">
      <w:pPr>
        <w:jc w:val="center"/>
        <w:rPr>
          <w:rFonts w:eastAsia="仿宋_GB2312" w:cs="仿宋_GB2312"/>
          <w:sz w:val="32"/>
          <w:szCs w:val="32"/>
        </w:rPr>
      </w:pPr>
      <w:r>
        <w:rPr>
          <w:rFonts w:hint="eastAsia" w:eastAsia="仿宋_GB2312" w:cs="仿宋_GB2312"/>
          <w:sz w:val="32"/>
          <w:szCs w:val="32"/>
        </w:rPr>
        <w:t>图3：支出决算结构图</w:t>
      </w:r>
    </w:p>
    <w:p w14:paraId="37A50062">
      <w:pPr>
        <w:pStyle w:val="2"/>
        <w:ind w:left="420"/>
      </w:pPr>
    </w:p>
    <w:p w14:paraId="500C7DAD">
      <w:pPr>
        <w:spacing w:line="600" w:lineRule="exact"/>
        <w:ind w:firstLine="640" w:firstLineChars="200"/>
        <w:outlineLvl w:val="1"/>
        <w:rPr>
          <w:rStyle w:val="30"/>
          <w:rFonts w:ascii="Times New Roman" w:hAnsi="Times New Roman" w:eastAsia="黑体"/>
          <w:b w:val="0"/>
        </w:rPr>
      </w:pPr>
      <w:bookmarkStart w:id="20" w:name="_Toc15377208"/>
      <w:bookmarkStart w:id="21"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0"/>
      <w:bookmarkEnd w:id="21"/>
    </w:p>
    <w:p w14:paraId="0A3E3A08">
      <w:pPr>
        <w:spacing w:line="600" w:lineRule="exact"/>
        <w:ind w:firstLine="640"/>
        <w:rPr>
          <w:rFonts w:eastAsia="仿宋_GB2312" w:cs="仿宋_GB2312"/>
          <w:color w:val="auto"/>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b/>
          <w:bCs/>
          <w:sz w:val="32"/>
          <w:szCs w:val="32"/>
        </w:rPr>
        <w:t>17596.41</w:t>
      </w:r>
      <w:r>
        <w:rPr>
          <w:rFonts w:hint="eastAsia" w:eastAsia="仿宋_GB2312" w:cs="仿宋_GB2312"/>
          <w:sz w:val="32"/>
          <w:szCs w:val="32"/>
        </w:rPr>
        <w:t>万元。与2023年度相比，财政拨款收入总计、支出总计各减少7724.9</w:t>
      </w:r>
      <w:r>
        <w:rPr>
          <w:rFonts w:hint="eastAsia" w:eastAsia="仿宋_GB2312" w:cs="仿宋_GB2312"/>
          <w:color w:val="auto"/>
          <w:sz w:val="32"/>
          <w:szCs w:val="32"/>
        </w:rPr>
        <w:t>5</w:t>
      </w:r>
      <w:r>
        <w:rPr>
          <w:rFonts w:hint="eastAsia" w:eastAsia="仿宋_GB2312" w:cs="仿宋_GB2312"/>
          <w:sz w:val="32"/>
          <w:szCs w:val="32"/>
        </w:rPr>
        <w:t>万元，下降30.51%。</w:t>
      </w:r>
      <w:r>
        <w:rPr>
          <w:rFonts w:hint="eastAsia" w:eastAsia="仿宋_GB2312" w:cs="仿宋_GB2312"/>
          <w:color w:val="auto"/>
          <w:sz w:val="32"/>
          <w:szCs w:val="32"/>
        </w:rPr>
        <w:t>主要变动原因是一般公共预算财政拨款中本年专项资金下达</w:t>
      </w:r>
      <w:r>
        <w:rPr>
          <w:rFonts w:hint="eastAsia" w:eastAsia="仿宋_GB2312" w:cs="仿宋_GB2312"/>
          <w:color w:val="auto"/>
          <w:sz w:val="32"/>
          <w:szCs w:val="32"/>
          <w:lang w:val="en-US" w:eastAsia="zh-CN"/>
        </w:rPr>
        <w:t>经费</w:t>
      </w:r>
      <w:r>
        <w:rPr>
          <w:rFonts w:hint="eastAsia" w:eastAsia="仿宋_GB2312" w:cs="仿宋_GB2312"/>
          <w:color w:val="auto"/>
          <w:sz w:val="32"/>
          <w:szCs w:val="32"/>
        </w:rPr>
        <w:t>减少2052.5</w:t>
      </w:r>
      <w:r>
        <w:rPr>
          <w:rFonts w:hint="eastAsia" w:eastAsia="仿宋_GB2312" w:cs="仿宋_GB2312"/>
          <w:color w:val="auto"/>
          <w:sz w:val="32"/>
          <w:szCs w:val="32"/>
          <w:lang w:val="en-US" w:eastAsia="zh-CN"/>
        </w:rPr>
        <w:t>1</w:t>
      </w:r>
      <w:r>
        <w:rPr>
          <w:rFonts w:hint="eastAsia" w:eastAsia="仿宋_GB2312" w:cs="仿宋_GB2312"/>
          <w:color w:val="auto"/>
          <w:sz w:val="32"/>
          <w:szCs w:val="32"/>
        </w:rPr>
        <w:t>万元、上年专项结转减少329.5</w:t>
      </w:r>
      <w:r>
        <w:rPr>
          <w:rFonts w:hint="eastAsia" w:eastAsia="仿宋_GB2312" w:cs="仿宋_GB2312"/>
          <w:color w:val="auto"/>
          <w:sz w:val="32"/>
          <w:szCs w:val="32"/>
          <w:lang w:val="en-US" w:eastAsia="zh-CN"/>
        </w:rPr>
        <w:t>0</w:t>
      </w:r>
      <w:r>
        <w:rPr>
          <w:rFonts w:hint="eastAsia" w:eastAsia="仿宋_GB2312" w:cs="仿宋_GB2312"/>
          <w:color w:val="auto"/>
          <w:sz w:val="32"/>
          <w:szCs w:val="32"/>
        </w:rPr>
        <w:t>万元、生均拨款增加457.06万元</w:t>
      </w:r>
      <w:r>
        <w:rPr>
          <w:rFonts w:hint="eastAsia" w:ascii="仿宋" w:hAnsi="仿宋" w:eastAsia="仿宋"/>
          <w:color w:val="auto"/>
          <w:sz w:val="32"/>
          <w:szCs w:val="32"/>
        </w:rPr>
        <w:t>；同时政府性基金财政拨款中州财政局拨付凉发展专项债券化解隐形债务的</w:t>
      </w:r>
      <w:r>
        <w:rPr>
          <w:rFonts w:hint="eastAsia" w:ascii="仿宋" w:hAnsi="仿宋" w:eastAsia="仿宋"/>
          <w:color w:val="auto"/>
          <w:sz w:val="32"/>
          <w:szCs w:val="32"/>
          <w:lang w:val="en-US" w:eastAsia="zh-CN"/>
        </w:rPr>
        <w:t>经费</w:t>
      </w:r>
      <w:r>
        <w:rPr>
          <w:rFonts w:hint="eastAsia" w:ascii="仿宋" w:hAnsi="仿宋" w:eastAsia="仿宋"/>
          <w:color w:val="auto"/>
          <w:sz w:val="32"/>
          <w:szCs w:val="32"/>
        </w:rPr>
        <w:t>减少5800万元</w:t>
      </w:r>
      <w:r>
        <w:rPr>
          <w:rFonts w:hint="eastAsia" w:eastAsia="仿宋_GB2312" w:cs="仿宋_GB2312"/>
          <w:color w:val="auto"/>
          <w:sz w:val="32"/>
          <w:szCs w:val="32"/>
        </w:rPr>
        <w:t>。</w:t>
      </w:r>
    </w:p>
    <w:p w14:paraId="1044F2C4">
      <w:pPr>
        <w:pStyle w:val="2"/>
        <w:ind w:left="0" w:leftChars="0" w:firstLine="0" w:firstLineChars="0"/>
        <w:jc w:val="center"/>
      </w:pPr>
      <w:r>
        <w:drawing>
          <wp:inline distT="0" distB="0" distL="114300" distR="114300">
            <wp:extent cx="5028565" cy="3425190"/>
            <wp:effectExtent l="4445" t="4445" r="15240"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2202F9">
      <w:pPr>
        <w:spacing w:line="600" w:lineRule="exact"/>
        <w:jc w:val="center"/>
        <w:rPr>
          <w:rFonts w:eastAsia="仿宋_GB2312" w:cs="仿宋_GB2312"/>
          <w:sz w:val="32"/>
          <w:szCs w:val="32"/>
        </w:rPr>
      </w:pPr>
      <w:r>
        <w:rPr>
          <w:rFonts w:hint="eastAsia" w:eastAsia="仿宋_GB2312" w:cs="仿宋_GB2312"/>
          <w:sz w:val="32"/>
          <w:szCs w:val="32"/>
        </w:rPr>
        <w:t>图4：财政拨款收支决算总计变动情况</w:t>
      </w:r>
    </w:p>
    <w:p w14:paraId="73D8E604">
      <w:pPr>
        <w:pStyle w:val="2"/>
        <w:ind w:left="420"/>
      </w:pPr>
    </w:p>
    <w:p w14:paraId="62FD264E">
      <w:pPr>
        <w:spacing w:line="600" w:lineRule="exact"/>
        <w:ind w:firstLine="640" w:firstLineChars="200"/>
        <w:outlineLvl w:val="1"/>
        <w:rPr>
          <w:rStyle w:val="30"/>
          <w:rFonts w:ascii="Times New Roman" w:hAnsi="Times New Roman" w:eastAsia="黑体"/>
          <w:b w:val="0"/>
        </w:rPr>
      </w:pPr>
      <w:bookmarkStart w:id="22" w:name="_Toc15396607"/>
      <w:bookmarkStart w:id="23"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2"/>
      <w:bookmarkEnd w:id="23"/>
    </w:p>
    <w:p w14:paraId="24B36C1C">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1247259F">
      <w:pPr>
        <w:spacing w:line="600" w:lineRule="exact"/>
        <w:ind w:firstLine="640"/>
        <w:rPr>
          <w:rFonts w:eastAsia="仿宋_GB2312" w:cs="仿宋_GB2312"/>
          <w:color w:val="auto"/>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一般公共预算财政拨款支出</w:t>
      </w:r>
      <w:r>
        <w:rPr>
          <w:rFonts w:hint="eastAsia" w:ascii="仿宋_GB2312" w:hAnsi="仿宋_GB2312" w:eastAsia="仿宋_GB2312" w:cs="仿宋_GB2312"/>
          <w:b/>
          <w:bCs/>
          <w:color w:val="000000" w:themeColor="text1"/>
          <w:sz w:val="32"/>
          <w:szCs w:val="32"/>
          <w14:textFill>
            <w14:solidFill>
              <w14:schemeClr w14:val="tx1"/>
            </w14:solidFill>
          </w14:textFill>
        </w:rPr>
        <w:t>10796.41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sz w:val="32"/>
          <w:szCs w:val="32"/>
        </w:rPr>
        <w:t>，占本年支出合计的</w:t>
      </w:r>
      <w:r>
        <w:rPr>
          <w:rFonts w:hint="eastAsia" w:ascii="仿宋_GB2312" w:hAnsi="仿宋_GB2312" w:eastAsia="仿宋_GB2312" w:cs="仿宋_GB2312"/>
          <w:b/>
          <w:bCs/>
          <w:sz w:val="32"/>
          <w:szCs w:val="32"/>
        </w:rPr>
        <w:t>50.26</w:t>
      </w:r>
      <w:r>
        <w:rPr>
          <w:rFonts w:hint="eastAsia" w:ascii="仿宋_GB2312" w:hAnsi="仿宋_GB2312" w:eastAsia="仿宋_GB2312" w:cs="仿宋_GB2312"/>
          <w:sz w:val="32"/>
          <w:szCs w:val="32"/>
        </w:rPr>
        <w:t>%。与2023年度相比，一般公共预算财政拨款支出减少1924.95万元，下降15.13%。</w:t>
      </w:r>
      <w:r>
        <w:rPr>
          <w:rFonts w:hint="eastAsia" w:eastAsia="仿宋_GB2312" w:cs="仿宋_GB2312"/>
          <w:sz w:val="32"/>
          <w:szCs w:val="32"/>
        </w:rPr>
        <w:t>主要变动原因是</w:t>
      </w:r>
      <w:r>
        <w:rPr>
          <w:rFonts w:hint="eastAsia" w:eastAsia="仿宋_GB2312" w:cs="仿宋_GB2312"/>
          <w:color w:val="auto"/>
          <w:sz w:val="32"/>
          <w:szCs w:val="32"/>
        </w:rPr>
        <w:t>一般公共预算财政拨款中本年专项资金下达</w:t>
      </w:r>
      <w:r>
        <w:rPr>
          <w:rFonts w:hint="eastAsia" w:eastAsia="仿宋_GB2312" w:cs="仿宋_GB2312"/>
          <w:color w:val="auto"/>
          <w:sz w:val="32"/>
          <w:szCs w:val="32"/>
          <w:lang w:val="en-US" w:eastAsia="zh-CN"/>
        </w:rPr>
        <w:t>经费</w:t>
      </w:r>
      <w:r>
        <w:rPr>
          <w:rFonts w:hint="eastAsia" w:eastAsia="仿宋_GB2312" w:cs="仿宋_GB2312"/>
          <w:color w:val="auto"/>
          <w:sz w:val="32"/>
          <w:szCs w:val="32"/>
        </w:rPr>
        <w:t>减少2052.51万元、上年专项结转减少329.50万元、生均拨款增加457.06万元。</w:t>
      </w:r>
    </w:p>
    <w:p w14:paraId="4E7B081F">
      <w:pPr>
        <w:pStyle w:val="2"/>
        <w:ind w:left="420" w:firstLine="640"/>
        <w:rPr>
          <w:rFonts w:eastAsia="仿宋_GB2312" w:cs="仿宋_GB2312"/>
          <w:sz w:val="32"/>
        </w:rPr>
      </w:pPr>
    </w:p>
    <w:p w14:paraId="60F3726A"/>
    <w:p w14:paraId="76792E96">
      <w:pPr>
        <w:pStyle w:val="2"/>
        <w:ind w:left="0" w:leftChars="0" w:firstLine="0" w:firstLineChars="0"/>
        <w:jc w:val="center"/>
      </w:pPr>
    </w:p>
    <w:p w14:paraId="21FD27C8">
      <w:pPr>
        <w:pStyle w:val="2"/>
        <w:ind w:left="0" w:leftChars="0" w:firstLine="0" w:firstLineChars="0"/>
        <w:jc w:val="center"/>
      </w:pPr>
      <w:r>
        <w:drawing>
          <wp:inline distT="0" distB="0" distL="114300" distR="114300">
            <wp:extent cx="5158740" cy="3561080"/>
            <wp:effectExtent l="4445" t="4445" r="18415" b="1587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EBDDBB">
      <w:pPr>
        <w:spacing w:line="600" w:lineRule="exact"/>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7EA5F9A4">
      <w:pPr>
        <w:pStyle w:val="2"/>
        <w:ind w:left="0" w:leftChars="0" w:firstLine="0" w:firstLineChars="0"/>
      </w:pPr>
    </w:p>
    <w:p w14:paraId="4066F6F3">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491C912F">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eastAsia="仿宋_GB2312" w:cs="仿宋_GB2312"/>
          <w:color w:val="000000" w:themeColor="text1"/>
          <w:sz w:val="32"/>
          <w:szCs w:val="32"/>
          <w14:textFill>
            <w14:solidFill>
              <w14:schemeClr w14:val="tx1"/>
            </w14:solidFill>
          </w14:textFill>
        </w:rPr>
        <w:t>一般公共预算财政拨款支出</w:t>
      </w:r>
      <w:r>
        <w:rPr>
          <w:rFonts w:hint="eastAsia" w:ascii="仿宋_GB2312" w:hAnsi="仿宋_GB2312" w:eastAsia="仿宋_GB2312" w:cs="仿宋_GB2312"/>
          <w:b/>
          <w:bCs/>
          <w:color w:val="000000" w:themeColor="text1"/>
          <w:sz w:val="32"/>
          <w:szCs w:val="32"/>
          <w14:textFill>
            <w14:solidFill>
              <w14:schemeClr w14:val="tx1"/>
            </w14:solidFill>
          </w14:textFill>
        </w:rPr>
        <w:t>10796.41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eastAsia="仿宋_GB2312" w:cs="仿宋_GB2312"/>
          <w:color w:val="000000" w:themeColor="text1"/>
          <w:sz w:val="32"/>
          <w:szCs w:val="32"/>
          <w14:textFill>
            <w14:solidFill>
              <w14:schemeClr w14:val="tx1"/>
            </w14:solidFill>
          </w14:textFill>
        </w:rPr>
        <w:t>，</w:t>
      </w:r>
      <w:r>
        <w:rPr>
          <w:rFonts w:hint="eastAsia" w:eastAsia="仿宋_GB2312" w:cs="仿宋_GB2312"/>
          <w:sz w:val="32"/>
          <w:szCs w:val="32"/>
        </w:rPr>
        <w:t>主要用于以下方面：</w:t>
      </w:r>
      <w:r>
        <w:rPr>
          <w:rFonts w:hint="eastAsia" w:eastAsia="仿宋_GB2312" w:cs="仿宋_GB2312"/>
          <w:b/>
          <w:bCs/>
          <w:sz w:val="32"/>
          <w:szCs w:val="32"/>
        </w:rPr>
        <w:t>一般公共服务支出</w:t>
      </w:r>
      <w:r>
        <w:rPr>
          <w:rFonts w:hint="eastAsia" w:eastAsia="仿宋_GB2312" w:cs="仿宋_GB2312"/>
          <w:sz w:val="32"/>
          <w:szCs w:val="32"/>
        </w:rPr>
        <w:t>29.8</w:t>
      </w:r>
      <w:r>
        <w:rPr>
          <w:rFonts w:hint="eastAsia" w:eastAsia="仿宋_GB2312" w:cs="仿宋_GB2312"/>
          <w:sz w:val="32"/>
          <w:szCs w:val="32"/>
          <w:lang w:val="en-US" w:eastAsia="zh-CN"/>
        </w:rPr>
        <w:t>8</w:t>
      </w:r>
      <w:r>
        <w:rPr>
          <w:rFonts w:hint="eastAsia" w:eastAsia="仿宋_GB2312" w:cs="仿宋_GB2312"/>
          <w:sz w:val="32"/>
          <w:szCs w:val="32"/>
        </w:rPr>
        <w:t>万元，占0.28%；</w:t>
      </w:r>
      <w:r>
        <w:rPr>
          <w:rFonts w:hint="eastAsia" w:eastAsia="仿宋_GB2312" w:cs="仿宋_GB2312"/>
          <w:b/>
          <w:bCs/>
          <w:sz w:val="32"/>
          <w:szCs w:val="32"/>
        </w:rPr>
        <w:t>教育支出</w:t>
      </w:r>
      <w:r>
        <w:rPr>
          <w:rFonts w:hint="eastAsia" w:eastAsia="仿宋_GB2312" w:cs="仿宋_GB2312"/>
          <w:sz w:val="32"/>
          <w:szCs w:val="32"/>
        </w:rPr>
        <w:t>7967.2</w:t>
      </w:r>
      <w:r>
        <w:rPr>
          <w:rFonts w:hint="eastAsia" w:eastAsia="仿宋_GB2312" w:cs="仿宋_GB2312"/>
          <w:sz w:val="32"/>
          <w:szCs w:val="32"/>
          <w:lang w:val="en-US" w:eastAsia="zh-CN"/>
        </w:rPr>
        <w:t>5</w:t>
      </w:r>
      <w:r>
        <w:rPr>
          <w:rFonts w:hint="eastAsia" w:eastAsia="仿宋_GB2312" w:cs="仿宋_GB2312"/>
          <w:sz w:val="32"/>
          <w:szCs w:val="32"/>
        </w:rPr>
        <w:t>万元，占73.80%；</w:t>
      </w:r>
      <w:r>
        <w:rPr>
          <w:rFonts w:hint="eastAsia" w:eastAsia="仿宋_GB2312" w:cs="仿宋_GB2312"/>
          <w:b/>
          <w:bCs/>
          <w:sz w:val="32"/>
          <w:szCs w:val="32"/>
        </w:rPr>
        <w:t>科学技术支出</w:t>
      </w:r>
      <w:r>
        <w:rPr>
          <w:rFonts w:hint="eastAsia" w:eastAsia="仿宋_GB2312" w:cs="仿宋_GB2312"/>
          <w:sz w:val="32"/>
          <w:szCs w:val="32"/>
        </w:rPr>
        <w:t>1.29万元，占0.01%；</w:t>
      </w:r>
      <w:r>
        <w:rPr>
          <w:rFonts w:hint="eastAsia" w:eastAsia="仿宋_GB2312" w:cs="仿宋_GB2312"/>
          <w:b/>
          <w:bCs/>
          <w:sz w:val="32"/>
          <w:szCs w:val="32"/>
        </w:rPr>
        <w:t>社会保障和就业支出</w:t>
      </w:r>
      <w:r>
        <w:rPr>
          <w:rFonts w:hint="eastAsia" w:eastAsia="仿宋_GB2312" w:cs="仿宋_GB2312"/>
          <w:sz w:val="32"/>
          <w:szCs w:val="32"/>
        </w:rPr>
        <w:t>1581.46万元，占14.65%；</w:t>
      </w:r>
      <w:r>
        <w:rPr>
          <w:rFonts w:hint="eastAsia" w:eastAsia="仿宋_GB2312" w:cs="仿宋_GB2312"/>
          <w:b/>
          <w:bCs/>
          <w:sz w:val="32"/>
          <w:szCs w:val="32"/>
        </w:rPr>
        <w:t>卫生健康支出</w:t>
      </w:r>
      <w:r>
        <w:rPr>
          <w:rFonts w:hint="eastAsia" w:eastAsia="仿宋_GB2312" w:cs="仿宋_GB2312"/>
          <w:sz w:val="32"/>
          <w:szCs w:val="32"/>
        </w:rPr>
        <w:t>540.31万元，占5.00%；</w:t>
      </w:r>
      <w:r>
        <w:rPr>
          <w:rFonts w:hint="eastAsia" w:eastAsia="仿宋_GB2312" w:cs="仿宋_GB2312"/>
          <w:b/>
          <w:bCs/>
          <w:sz w:val="32"/>
          <w:szCs w:val="32"/>
        </w:rPr>
        <w:t>住房保障支出</w:t>
      </w:r>
      <w:r>
        <w:rPr>
          <w:rFonts w:hint="eastAsia" w:eastAsia="仿宋_GB2312" w:cs="仿宋_GB2312"/>
          <w:sz w:val="32"/>
          <w:szCs w:val="32"/>
        </w:rPr>
        <w:t>676.22</w:t>
      </w:r>
    </w:p>
    <w:p w14:paraId="67FA87CC">
      <w:pPr>
        <w:spacing w:line="600" w:lineRule="exact"/>
        <w:rPr>
          <w:rFonts w:eastAsia="仿宋_GB2312" w:cs="仿宋_GB2312"/>
          <w:sz w:val="32"/>
          <w:szCs w:val="32"/>
        </w:rPr>
      </w:pPr>
      <w:r>
        <w:rPr>
          <w:rFonts w:hint="eastAsia" w:eastAsia="仿宋_GB2312" w:cs="仿宋_GB2312"/>
          <w:sz w:val="32"/>
          <w:szCs w:val="32"/>
        </w:rPr>
        <w:t>万元，占6.26%。</w:t>
      </w:r>
    </w:p>
    <w:p w14:paraId="11388124">
      <w:pPr>
        <w:pStyle w:val="2"/>
        <w:ind w:left="0" w:leftChars="0" w:firstLine="0" w:firstLineChars="0"/>
        <w:jc w:val="center"/>
      </w:pPr>
      <w:r>
        <w:drawing>
          <wp:inline distT="0" distB="0" distL="114300" distR="114300">
            <wp:extent cx="5048250" cy="3463925"/>
            <wp:effectExtent l="4445" t="4445" r="14605" b="177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BF085C">
      <w:pPr>
        <w:spacing w:line="600" w:lineRule="exact"/>
        <w:jc w:val="center"/>
        <w:rPr>
          <w:rFonts w:eastAsia="仿宋_GB2312" w:cs="仿宋_GB2312"/>
          <w:sz w:val="32"/>
          <w:szCs w:val="32"/>
        </w:rPr>
      </w:pPr>
      <w:r>
        <w:rPr>
          <w:rFonts w:hint="eastAsia" w:eastAsia="仿宋_GB2312" w:cs="仿宋_GB2312"/>
          <w:sz w:val="32"/>
          <w:szCs w:val="32"/>
        </w:rPr>
        <w:t>图6：一般公共预算财政拨款支出决算结构</w:t>
      </w:r>
    </w:p>
    <w:p w14:paraId="1EB099CD">
      <w:pPr>
        <w:pStyle w:val="2"/>
        <w:ind w:left="0" w:leftChars="0" w:firstLine="0" w:firstLineChars="0"/>
      </w:pPr>
    </w:p>
    <w:p w14:paraId="780901EB">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0C9B9A45">
      <w:pPr>
        <w:spacing w:line="600" w:lineRule="exact"/>
        <w:ind w:firstLine="640"/>
        <w:rPr>
          <w:rFonts w:eastAsia="仿宋_GB2312" w:cs="仿宋_GB2312"/>
          <w:sz w:val="32"/>
          <w:szCs w:val="32"/>
        </w:rPr>
      </w:pPr>
      <w:bookmarkStart w:id="27" w:name="_Toc15377444"/>
      <w:bookmarkStart w:id="28" w:name="_Toc15378460"/>
      <w:bookmarkStart w:id="29" w:name="_Toc15377213"/>
      <w:r>
        <w:rPr>
          <w:rFonts w:hint="eastAsia" w:eastAsia="仿宋_GB2312" w:cs="仿宋_GB2312"/>
          <w:b/>
          <w:bCs/>
          <w:sz w:val="32"/>
          <w:szCs w:val="32"/>
        </w:rPr>
        <w:t>2024年度一般公共预算财政拨款支出决算数为</w:t>
      </w:r>
      <w:r>
        <w:rPr>
          <w:rFonts w:hint="eastAsia" w:ascii="仿宋_GB2312" w:hAnsi="仿宋_GB2312" w:eastAsia="仿宋_GB2312" w:cs="仿宋_GB2312"/>
          <w:b/>
          <w:bCs/>
          <w:sz w:val="32"/>
          <w:szCs w:val="32"/>
        </w:rPr>
        <w:t>10796.41万元，完成</w:t>
      </w:r>
      <w:r>
        <w:rPr>
          <w:rFonts w:hint="eastAsia" w:eastAsia="仿宋_GB2312" w:cs="仿宋_GB2312"/>
          <w:b/>
          <w:bCs/>
          <w:sz w:val="32"/>
          <w:szCs w:val="32"/>
        </w:rPr>
        <w:t>预算1</w:t>
      </w:r>
      <w:r>
        <w:rPr>
          <w:rFonts w:eastAsia="仿宋_GB2312" w:cs="仿宋_GB2312"/>
          <w:b/>
          <w:bCs/>
          <w:sz w:val="32"/>
          <w:szCs w:val="32"/>
        </w:rPr>
        <w:t>00</w:t>
      </w:r>
      <w:r>
        <w:rPr>
          <w:rFonts w:hint="eastAsia" w:eastAsia="仿宋_GB2312" w:cs="仿宋_GB2312"/>
          <w:b/>
          <w:bCs/>
          <w:sz w:val="32"/>
          <w:szCs w:val="32"/>
        </w:rPr>
        <w:t xml:space="preserve"> %</w:t>
      </w:r>
      <w:r>
        <w:rPr>
          <w:rFonts w:hint="eastAsia" w:ascii="仿宋_GB2312" w:hAnsi="仿宋_GB2312" w:eastAsia="仿宋_GB2312" w:cs="仿宋_GB2312"/>
          <w:b/>
          <w:bCs/>
          <w:sz w:val="32"/>
          <w:szCs w:val="32"/>
        </w:rPr>
        <w:t>，</w:t>
      </w:r>
      <w:r>
        <w:rPr>
          <w:rFonts w:hint="eastAsia" w:eastAsia="仿宋_GB2312" w:cs="仿宋_GB2312"/>
          <w:b/>
          <w:bCs/>
          <w:sz w:val="32"/>
          <w:szCs w:val="32"/>
        </w:rPr>
        <w:t>其中：</w:t>
      </w:r>
      <w:bookmarkEnd w:id="27"/>
      <w:bookmarkEnd w:id="28"/>
      <w:bookmarkEnd w:id="29"/>
    </w:p>
    <w:p w14:paraId="487A1352">
      <w:pPr>
        <w:spacing w:line="600" w:lineRule="exact"/>
        <w:ind w:firstLine="640"/>
        <w:rPr>
          <w:rFonts w:eastAsia="仿宋_GB2312" w:cs="仿宋_GB2312"/>
          <w:sz w:val="32"/>
          <w:szCs w:val="32"/>
        </w:rPr>
      </w:pPr>
      <w:r>
        <w:rPr>
          <w:rFonts w:hint="eastAsia" w:eastAsia="仿宋_GB2312" w:cs="仿宋_GB2312"/>
          <w:b/>
          <w:bCs/>
          <w:sz w:val="32"/>
          <w:szCs w:val="32"/>
        </w:rPr>
        <w:t>1.一般公共服务（类）民族事务（款）其他民族事务（项）：</w:t>
      </w:r>
      <w:r>
        <w:rPr>
          <w:rFonts w:hint="eastAsia" w:eastAsia="仿宋_GB2312" w:cs="仿宋_GB2312"/>
          <w:sz w:val="32"/>
          <w:szCs w:val="32"/>
        </w:rPr>
        <w:t>支出决算为29.88万元，完成预算</w:t>
      </w:r>
      <w:r>
        <w:rPr>
          <w:rFonts w:eastAsia="仿宋_GB2312" w:cs="仿宋_GB2312"/>
          <w:sz w:val="32"/>
          <w:szCs w:val="32"/>
        </w:rPr>
        <w:t>100</w:t>
      </w:r>
      <w:r>
        <w:rPr>
          <w:rFonts w:hint="eastAsia" w:eastAsia="仿宋_GB2312" w:cs="仿宋_GB2312"/>
          <w:sz w:val="32"/>
          <w:szCs w:val="32"/>
        </w:rPr>
        <w:t>%。</w:t>
      </w:r>
    </w:p>
    <w:p w14:paraId="0E440ADB">
      <w:pPr>
        <w:spacing w:line="600" w:lineRule="exact"/>
        <w:ind w:firstLine="640"/>
        <w:rPr>
          <w:rFonts w:eastAsia="仿宋_GB2312" w:cs="仿宋_GB2312"/>
          <w:sz w:val="32"/>
          <w:szCs w:val="32"/>
        </w:rPr>
      </w:pPr>
      <w:r>
        <w:rPr>
          <w:rFonts w:hint="eastAsia" w:eastAsia="仿宋_GB2312" w:cs="仿宋_GB2312"/>
          <w:b/>
          <w:bCs/>
          <w:sz w:val="32"/>
          <w:szCs w:val="32"/>
        </w:rPr>
        <w:t>2.教育（类）普通教育（款）其他普通教育（项）</w:t>
      </w:r>
      <w:r>
        <w:rPr>
          <w:rFonts w:hint="eastAsia" w:eastAsia="仿宋_GB2312" w:cs="仿宋_GB2312"/>
          <w:b/>
          <w:bCs/>
          <w:sz w:val="32"/>
          <w:szCs w:val="32"/>
          <w:lang w:eastAsia="zh-CN"/>
        </w:rPr>
        <w:t>：</w:t>
      </w:r>
      <w:r>
        <w:rPr>
          <w:rFonts w:hint="eastAsia" w:eastAsia="仿宋_GB2312" w:cs="仿宋_GB2312"/>
          <w:sz w:val="32"/>
          <w:szCs w:val="32"/>
        </w:rPr>
        <w:t>支出决算为100.6万元，完成预算</w:t>
      </w:r>
      <w:r>
        <w:rPr>
          <w:rFonts w:eastAsia="仿宋_GB2312" w:cs="仿宋_GB2312"/>
          <w:sz w:val="32"/>
          <w:szCs w:val="32"/>
        </w:rPr>
        <w:t>100</w:t>
      </w:r>
      <w:r>
        <w:rPr>
          <w:rFonts w:hint="eastAsia" w:eastAsia="仿宋_GB2312" w:cs="仿宋_GB2312"/>
          <w:sz w:val="32"/>
          <w:szCs w:val="32"/>
        </w:rPr>
        <w:t>%。</w:t>
      </w:r>
    </w:p>
    <w:p w14:paraId="636133C5">
      <w:pPr>
        <w:spacing w:line="600" w:lineRule="exact"/>
        <w:ind w:firstLine="640"/>
        <w:rPr>
          <w:rFonts w:eastAsia="仿宋_GB2312" w:cs="仿宋_GB2312"/>
          <w:sz w:val="32"/>
          <w:szCs w:val="32"/>
        </w:rPr>
      </w:pPr>
      <w:r>
        <w:rPr>
          <w:rFonts w:hint="eastAsia" w:eastAsia="仿宋_GB2312" w:cs="仿宋_GB2312"/>
          <w:b/>
          <w:bCs/>
          <w:sz w:val="32"/>
          <w:szCs w:val="32"/>
        </w:rPr>
        <w:t>3.教育（类）职业教育（款）中等职业教育（项）</w:t>
      </w:r>
      <w:r>
        <w:rPr>
          <w:rFonts w:hint="eastAsia" w:eastAsia="仿宋_GB2312" w:cs="仿宋_GB2312"/>
          <w:b/>
          <w:bCs/>
          <w:sz w:val="32"/>
          <w:szCs w:val="32"/>
          <w:lang w:eastAsia="zh-CN"/>
        </w:rPr>
        <w:t>：</w:t>
      </w:r>
      <w:r>
        <w:rPr>
          <w:rFonts w:hint="eastAsia" w:eastAsia="仿宋_GB2312" w:cs="仿宋_GB2312"/>
          <w:sz w:val="32"/>
          <w:szCs w:val="32"/>
        </w:rPr>
        <w:t>支出决算为100.93万元，完成预算</w:t>
      </w:r>
      <w:r>
        <w:rPr>
          <w:rFonts w:eastAsia="仿宋_GB2312" w:cs="仿宋_GB2312"/>
          <w:sz w:val="32"/>
          <w:szCs w:val="32"/>
        </w:rPr>
        <w:t>100</w:t>
      </w:r>
      <w:r>
        <w:rPr>
          <w:rFonts w:hint="eastAsia" w:eastAsia="仿宋_GB2312" w:cs="仿宋_GB2312"/>
          <w:sz w:val="32"/>
          <w:szCs w:val="32"/>
        </w:rPr>
        <w:t>%。</w:t>
      </w:r>
    </w:p>
    <w:p w14:paraId="230BFFF5">
      <w:pPr>
        <w:spacing w:line="600" w:lineRule="exact"/>
        <w:ind w:firstLine="640"/>
        <w:rPr>
          <w:rFonts w:eastAsia="仿宋_GB2312" w:cs="仿宋_GB2312"/>
          <w:sz w:val="32"/>
          <w:szCs w:val="32"/>
        </w:rPr>
      </w:pPr>
      <w:r>
        <w:rPr>
          <w:rFonts w:hint="eastAsia" w:eastAsia="仿宋_GB2312" w:cs="仿宋_GB2312"/>
          <w:b/>
          <w:bCs/>
          <w:sz w:val="32"/>
          <w:szCs w:val="32"/>
        </w:rPr>
        <w:t>4.教育（类）职业教育（款）高等职业教育（项）</w:t>
      </w:r>
      <w:r>
        <w:rPr>
          <w:rFonts w:hint="eastAsia" w:eastAsia="仿宋_GB2312" w:cs="仿宋_GB2312"/>
          <w:b/>
          <w:bCs/>
          <w:sz w:val="32"/>
          <w:szCs w:val="32"/>
          <w:lang w:eastAsia="zh-CN"/>
        </w:rPr>
        <w:t>：</w:t>
      </w:r>
      <w:r>
        <w:rPr>
          <w:rFonts w:hint="eastAsia" w:eastAsia="仿宋_GB2312" w:cs="仿宋_GB2312"/>
          <w:sz w:val="32"/>
          <w:szCs w:val="32"/>
        </w:rPr>
        <w:t>支出决算为7744.72万元，完成预算</w:t>
      </w:r>
      <w:r>
        <w:rPr>
          <w:rFonts w:eastAsia="仿宋_GB2312" w:cs="仿宋_GB2312"/>
          <w:sz w:val="32"/>
          <w:szCs w:val="32"/>
        </w:rPr>
        <w:t>100</w:t>
      </w:r>
      <w:r>
        <w:rPr>
          <w:rFonts w:hint="eastAsia" w:eastAsia="仿宋_GB2312" w:cs="仿宋_GB2312"/>
          <w:sz w:val="32"/>
          <w:szCs w:val="32"/>
        </w:rPr>
        <w:t>%。</w:t>
      </w:r>
    </w:p>
    <w:p w14:paraId="1E67295B">
      <w:pPr>
        <w:spacing w:line="600" w:lineRule="exact"/>
        <w:ind w:firstLine="640"/>
        <w:rPr>
          <w:rFonts w:eastAsia="仿宋_GB2312"/>
        </w:rPr>
      </w:pPr>
      <w:r>
        <w:rPr>
          <w:rFonts w:hint="eastAsia" w:eastAsia="仿宋_GB2312" w:cs="仿宋_GB2312"/>
          <w:b/>
          <w:bCs/>
          <w:sz w:val="32"/>
          <w:szCs w:val="32"/>
        </w:rPr>
        <w:t>5.教育（类）其他教育（款）其他教育（项）</w:t>
      </w:r>
      <w:r>
        <w:rPr>
          <w:rFonts w:hint="eastAsia" w:eastAsia="仿宋_GB2312" w:cs="仿宋_GB2312"/>
          <w:b/>
          <w:bCs/>
          <w:sz w:val="32"/>
          <w:szCs w:val="32"/>
          <w:lang w:eastAsia="zh-CN"/>
        </w:rPr>
        <w:t>：</w:t>
      </w:r>
      <w:r>
        <w:rPr>
          <w:rFonts w:hint="eastAsia" w:eastAsia="仿宋_GB2312" w:cs="仿宋_GB2312"/>
          <w:sz w:val="32"/>
          <w:szCs w:val="32"/>
        </w:rPr>
        <w:t>支出决算为21万元，完成预算</w:t>
      </w:r>
      <w:r>
        <w:rPr>
          <w:rFonts w:eastAsia="仿宋_GB2312" w:cs="仿宋_GB2312"/>
          <w:sz w:val="32"/>
          <w:szCs w:val="32"/>
        </w:rPr>
        <w:t>100</w:t>
      </w:r>
      <w:r>
        <w:rPr>
          <w:rFonts w:hint="eastAsia" w:eastAsia="仿宋_GB2312" w:cs="仿宋_GB2312"/>
          <w:sz w:val="32"/>
          <w:szCs w:val="32"/>
        </w:rPr>
        <w:t>%。</w:t>
      </w:r>
    </w:p>
    <w:p w14:paraId="76AA493E">
      <w:pPr>
        <w:spacing w:line="600" w:lineRule="exact"/>
        <w:ind w:firstLine="640"/>
        <w:rPr>
          <w:rFonts w:eastAsia="仿宋_GB2312" w:cs="仿宋_GB2312"/>
          <w:sz w:val="32"/>
          <w:szCs w:val="32"/>
        </w:rPr>
      </w:pPr>
      <w:r>
        <w:rPr>
          <w:rFonts w:hint="eastAsia" w:eastAsia="仿宋_GB2312" w:cs="仿宋_GB2312"/>
          <w:b/>
          <w:bCs/>
          <w:sz w:val="32"/>
          <w:szCs w:val="32"/>
        </w:rPr>
        <w:t>6.科学技术（类）技术研究与开发（款）其他技术研究与开发（项）</w:t>
      </w:r>
      <w:r>
        <w:rPr>
          <w:rFonts w:hint="eastAsia" w:eastAsia="仿宋_GB2312" w:cs="仿宋_GB2312"/>
          <w:b/>
          <w:bCs/>
          <w:sz w:val="32"/>
          <w:szCs w:val="32"/>
          <w:lang w:eastAsia="zh-CN"/>
        </w:rPr>
        <w:t>：</w:t>
      </w:r>
      <w:bookmarkStart w:id="63" w:name="_GoBack"/>
      <w:bookmarkEnd w:id="63"/>
      <w:r>
        <w:rPr>
          <w:rFonts w:hint="eastAsia" w:eastAsia="仿宋_GB2312" w:cs="仿宋_GB2312"/>
          <w:sz w:val="32"/>
          <w:szCs w:val="32"/>
        </w:rPr>
        <w:t>支出决算为0.54万元，完成预算</w:t>
      </w:r>
      <w:r>
        <w:rPr>
          <w:rFonts w:eastAsia="仿宋_GB2312" w:cs="仿宋_GB2312"/>
          <w:sz w:val="32"/>
          <w:szCs w:val="32"/>
        </w:rPr>
        <w:t>100</w:t>
      </w:r>
      <w:r>
        <w:rPr>
          <w:rFonts w:hint="eastAsia" w:eastAsia="仿宋_GB2312" w:cs="仿宋_GB2312"/>
          <w:sz w:val="32"/>
          <w:szCs w:val="32"/>
        </w:rPr>
        <w:t>%。</w:t>
      </w:r>
    </w:p>
    <w:p w14:paraId="7DC8D0C5">
      <w:pPr>
        <w:spacing w:line="600" w:lineRule="exact"/>
        <w:ind w:firstLine="640"/>
        <w:rPr>
          <w:rFonts w:eastAsia="仿宋_GB2312"/>
        </w:rPr>
      </w:pPr>
      <w:r>
        <w:rPr>
          <w:rFonts w:hint="eastAsia" w:eastAsia="仿宋_GB2312" w:cs="仿宋_GB2312"/>
          <w:b/>
          <w:bCs/>
          <w:sz w:val="32"/>
          <w:szCs w:val="32"/>
        </w:rPr>
        <w:t>7.科学技术（类）社会科学（款）社科基金（项）：</w:t>
      </w:r>
      <w:r>
        <w:rPr>
          <w:rFonts w:hint="eastAsia" w:eastAsia="仿宋_GB2312" w:cs="仿宋_GB2312"/>
          <w:sz w:val="32"/>
          <w:szCs w:val="32"/>
        </w:rPr>
        <w:t>支出决算为0.75万元，完成预算</w:t>
      </w:r>
      <w:r>
        <w:rPr>
          <w:rFonts w:eastAsia="仿宋_GB2312" w:cs="仿宋_GB2312"/>
          <w:sz w:val="32"/>
          <w:szCs w:val="32"/>
        </w:rPr>
        <w:t>100</w:t>
      </w:r>
      <w:r>
        <w:rPr>
          <w:rFonts w:hint="eastAsia" w:eastAsia="仿宋_GB2312" w:cs="仿宋_GB2312"/>
          <w:sz w:val="32"/>
          <w:szCs w:val="32"/>
        </w:rPr>
        <w:t>%。</w:t>
      </w:r>
    </w:p>
    <w:p w14:paraId="1BFE2282">
      <w:pPr>
        <w:spacing w:line="600" w:lineRule="exact"/>
        <w:ind w:firstLine="640"/>
        <w:rPr>
          <w:rFonts w:eastAsia="仿宋_GB2312" w:cs="仿宋_GB2312"/>
          <w:sz w:val="32"/>
          <w:szCs w:val="32"/>
        </w:rPr>
      </w:pPr>
      <w:r>
        <w:rPr>
          <w:rFonts w:hint="eastAsia" w:eastAsia="仿宋_GB2312" w:cs="仿宋_GB2312"/>
          <w:b/>
          <w:bCs/>
          <w:sz w:val="32"/>
          <w:szCs w:val="32"/>
        </w:rPr>
        <w:t>8.社会保障和就业（类）人力资源和社会保障管理（款）其他人力资源和社会保障管理（项）：</w:t>
      </w:r>
      <w:r>
        <w:rPr>
          <w:rFonts w:hint="eastAsia" w:eastAsia="仿宋_GB2312" w:cs="仿宋_GB2312"/>
          <w:sz w:val="32"/>
          <w:szCs w:val="32"/>
        </w:rPr>
        <w:t>支出决算为0.99万元，完成预算</w:t>
      </w:r>
      <w:r>
        <w:rPr>
          <w:rFonts w:eastAsia="仿宋_GB2312" w:cs="仿宋_GB2312"/>
          <w:sz w:val="32"/>
          <w:szCs w:val="32"/>
        </w:rPr>
        <w:t>100</w:t>
      </w:r>
      <w:r>
        <w:rPr>
          <w:rFonts w:hint="eastAsia" w:eastAsia="仿宋_GB2312" w:cs="仿宋_GB2312"/>
          <w:sz w:val="32"/>
          <w:szCs w:val="32"/>
        </w:rPr>
        <w:t>%。</w:t>
      </w:r>
    </w:p>
    <w:p w14:paraId="7F7EA253">
      <w:pPr>
        <w:spacing w:line="600" w:lineRule="exact"/>
        <w:ind w:firstLine="640"/>
        <w:rPr>
          <w:rFonts w:eastAsia="仿宋_GB2312" w:cs="仿宋_GB2312"/>
          <w:sz w:val="32"/>
          <w:szCs w:val="32"/>
        </w:rPr>
      </w:pPr>
      <w:r>
        <w:rPr>
          <w:rFonts w:hint="eastAsia" w:eastAsia="仿宋_GB2312" w:cs="仿宋_GB2312"/>
          <w:b/>
          <w:bCs/>
          <w:sz w:val="32"/>
          <w:szCs w:val="32"/>
        </w:rPr>
        <w:t>9.社会保障和就业（类）行政事业单位养老（款）事业单位离退休（项）：</w:t>
      </w:r>
      <w:r>
        <w:rPr>
          <w:rFonts w:hint="eastAsia" w:eastAsia="仿宋_GB2312" w:cs="仿宋_GB2312"/>
          <w:sz w:val="32"/>
          <w:szCs w:val="32"/>
        </w:rPr>
        <w:t>支出决算为505.15万元，完成预算</w:t>
      </w:r>
      <w:r>
        <w:rPr>
          <w:rFonts w:eastAsia="仿宋_GB2312" w:cs="仿宋_GB2312"/>
          <w:sz w:val="32"/>
          <w:szCs w:val="32"/>
        </w:rPr>
        <w:t>100</w:t>
      </w:r>
      <w:r>
        <w:rPr>
          <w:rFonts w:hint="eastAsia" w:eastAsia="仿宋_GB2312" w:cs="仿宋_GB2312"/>
          <w:sz w:val="32"/>
          <w:szCs w:val="32"/>
        </w:rPr>
        <w:t>%。</w:t>
      </w:r>
    </w:p>
    <w:p w14:paraId="382646D5">
      <w:pPr>
        <w:spacing w:line="600" w:lineRule="exact"/>
        <w:ind w:firstLine="640"/>
        <w:rPr>
          <w:rFonts w:eastAsia="仿宋_GB2312" w:cs="仿宋_GB2312"/>
          <w:sz w:val="32"/>
          <w:szCs w:val="32"/>
        </w:rPr>
      </w:pPr>
      <w:r>
        <w:rPr>
          <w:rFonts w:hint="eastAsia" w:eastAsia="仿宋_GB2312" w:cs="仿宋_GB2312"/>
          <w:b/>
          <w:bCs/>
          <w:sz w:val="32"/>
          <w:szCs w:val="32"/>
        </w:rPr>
        <w:t>10.社会保障和就业（类）行政事业单位养老（款）机关事业单位基本养老保险缴费（项）：</w:t>
      </w:r>
      <w:r>
        <w:rPr>
          <w:rFonts w:hint="eastAsia" w:eastAsia="仿宋_GB2312" w:cs="仿宋_GB2312"/>
          <w:sz w:val="32"/>
          <w:szCs w:val="32"/>
        </w:rPr>
        <w:t>支出决算为726.66万元，完成预算</w:t>
      </w:r>
      <w:r>
        <w:rPr>
          <w:rFonts w:eastAsia="仿宋_GB2312" w:cs="仿宋_GB2312"/>
          <w:sz w:val="32"/>
          <w:szCs w:val="32"/>
        </w:rPr>
        <w:t>100</w:t>
      </w:r>
      <w:r>
        <w:rPr>
          <w:rFonts w:hint="eastAsia" w:eastAsia="仿宋_GB2312" w:cs="仿宋_GB2312"/>
          <w:sz w:val="32"/>
          <w:szCs w:val="32"/>
        </w:rPr>
        <w:t>%。</w:t>
      </w:r>
    </w:p>
    <w:p w14:paraId="2F783CCF">
      <w:pPr>
        <w:spacing w:line="600" w:lineRule="exact"/>
        <w:ind w:firstLine="640"/>
        <w:rPr>
          <w:rFonts w:eastAsia="仿宋_GB2312" w:cs="仿宋_GB2312"/>
          <w:sz w:val="32"/>
          <w:szCs w:val="32"/>
        </w:rPr>
      </w:pPr>
      <w:r>
        <w:rPr>
          <w:rFonts w:hint="eastAsia" w:eastAsia="仿宋_GB2312" w:cs="仿宋_GB2312"/>
          <w:b/>
          <w:bCs/>
          <w:sz w:val="32"/>
          <w:szCs w:val="32"/>
        </w:rPr>
        <w:t>11.社会保障和就业（类）行政事业单位养老（款）机关事业单位职业年金缴费（项）：</w:t>
      </w:r>
      <w:r>
        <w:rPr>
          <w:rFonts w:hint="eastAsia" w:eastAsia="仿宋_GB2312" w:cs="仿宋_GB2312"/>
          <w:sz w:val="32"/>
          <w:szCs w:val="32"/>
        </w:rPr>
        <w:t>支出决算为348.66万元，完成预算</w:t>
      </w:r>
      <w:r>
        <w:rPr>
          <w:rFonts w:eastAsia="仿宋_GB2312" w:cs="仿宋_GB2312"/>
          <w:sz w:val="32"/>
          <w:szCs w:val="32"/>
        </w:rPr>
        <w:t>100</w:t>
      </w:r>
      <w:r>
        <w:rPr>
          <w:rFonts w:hint="eastAsia" w:eastAsia="仿宋_GB2312" w:cs="仿宋_GB2312"/>
          <w:sz w:val="32"/>
          <w:szCs w:val="32"/>
        </w:rPr>
        <w:t>%。</w:t>
      </w:r>
    </w:p>
    <w:p w14:paraId="32C1AC77">
      <w:pPr>
        <w:spacing w:line="600" w:lineRule="exact"/>
        <w:ind w:firstLine="640"/>
        <w:rPr>
          <w:rFonts w:eastAsia="仿宋_GB2312" w:cs="仿宋_GB2312"/>
          <w:sz w:val="32"/>
          <w:szCs w:val="32"/>
        </w:rPr>
      </w:pPr>
      <w:r>
        <w:rPr>
          <w:rFonts w:hint="eastAsia" w:eastAsia="仿宋_GB2312" w:cs="仿宋_GB2312"/>
          <w:b/>
          <w:bCs/>
          <w:sz w:val="32"/>
          <w:szCs w:val="32"/>
        </w:rPr>
        <w:t>12.卫生健康（类）公共卫生（款）重大公共卫生（项）：</w:t>
      </w:r>
      <w:r>
        <w:rPr>
          <w:rFonts w:hint="eastAsia" w:eastAsia="仿宋_GB2312" w:cs="仿宋_GB2312"/>
          <w:sz w:val="32"/>
          <w:szCs w:val="32"/>
        </w:rPr>
        <w:t>支出决算为5万元，完成预算</w:t>
      </w:r>
      <w:r>
        <w:rPr>
          <w:rFonts w:eastAsia="仿宋_GB2312" w:cs="仿宋_GB2312"/>
          <w:sz w:val="32"/>
          <w:szCs w:val="32"/>
        </w:rPr>
        <w:t>100</w:t>
      </w:r>
      <w:r>
        <w:rPr>
          <w:rFonts w:hint="eastAsia" w:eastAsia="仿宋_GB2312" w:cs="仿宋_GB2312"/>
          <w:sz w:val="32"/>
          <w:szCs w:val="32"/>
        </w:rPr>
        <w:t>%。</w:t>
      </w:r>
    </w:p>
    <w:p w14:paraId="4B020DD9">
      <w:pPr>
        <w:spacing w:line="600" w:lineRule="exact"/>
        <w:ind w:firstLine="640"/>
        <w:rPr>
          <w:rFonts w:eastAsia="仿宋_GB2312" w:cs="仿宋_GB2312"/>
          <w:sz w:val="32"/>
          <w:szCs w:val="32"/>
        </w:rPr>
      </w:pPr>
      <w:r>
        <w:rPr>
          <w:rFonts w:hint="eastAsia" w:eastAsia="仿宋_GB2312" w:cs="仿宋_GB2312"/>
          <w:b/>
          <w:bCs/>
          <w:sz w:val="32"/>
          <w:szCs w:val="32"/>
        </w:rPr>
        <w:t>13.卫生健康（类）行政事业单位医疗（款）事业单位医疗（项）：</w:t>
      </w:r>
      <w:r>
        <w:rPr>
          <w:rFonts w:hint="eastAsia" w:eastAsia="仿宋_GB2312" w:cs="仿宋_GB2312"/>
          <w:sz w:val="32"/>
          <w:szCs w:val="32"/>
        </w:rPr>
        <w:t>支出决算为326.85万元，完成预算</w:t>
      </w:r>
      <w:r>
        <w:rPr>
          <w:rFonts w:eastAsia="仿宋_GB2312" w:cs="仿宋_GB2312"/>
          <w:sz w:val="32"/>
          <w:szCs w:val="32"/>
        </w:rPr>
        <w:t>100</w:t>
      </w:r>
      <w:r>
        <w:rPr>
          <w:rFonts w:hint="eastAsia" w:eastAsia="仿宋_GB2312" w:cs="仿宋_GB2312"/>
          <w:sz w:val="32"/>
          <w:szCs w:val="32"/>
        </w:rPr>
        <w:t>%。</w:t>
      </w:r>
    </w:p>
    <w:p w14:paraId="28DA15A6">
      <w:pPr>
        <w:spacing w:line="600" w:lineRule="exact"/>
        <w:ind w:firstLine="640"/>
        <w:rPr>
          <w:rFonts w:eastAsia="仿宋_GB2312" w:cs="仿宋_GB2312"/>
          <w:sz w:val="32"/>
          <w:szCs w:val="32"/>
        </w:rPr>
      </w:pPr>
      <w:r>
        <w:rPr>
          <w:rFonts w:hint="eastAsia" w:eastAsia="仿宋_GB2312" w:cs="仿宋_GB2312"/>
          <w:b/>
          <w:bCs/>
          <w:sz w:val="32"/>
          <w:szCs w:val="32"/>
        </w:rPr>
        <w:t>14.卫生健康（类）行政事业单位医疗（款）其他行政事业单位医疗（项）：</w:t>
      </w:r>
      <w:r>
        <w:rPr>
          <w:rFonts w:hint="eastAsia" w:eastAsia="仿宋_GB2312" w:cs="仿宋_GB2312"/>
          <w:sz w:val="32"/>
          <w:szCs w:val="32"/>
        </w:rPr>
        <w:t>支出决算为208.46万元，完成预算</w:t>
      </w:r>
      <w:r>
        <w:rPr>
          <w:rFonts w:eastAsia="仿宋_GB2312" w:cs="仿宋_GB2312"/>
          <w:sz w:val="32"/>
          <w:szCs w:val="32"/>
        </w:rPr>
        <w:t>100</w:t>
      </w:r>
      <w:r>
        <w:rPr>
          <w:rFonts w:hint="eastAsia" w:eastAsia="仿宋_GB2312" w:cs="仿宋_GB2312"/>
          <w:sz w:val="32"/>
          <w:szCs w:val="32"/>
        </w:rPr>
        <w:t>%。</w:t>
      </w:r>
    </w:p>
    <w:p w14:paraId="517D56A6">
      <w:pPr>
        <w:spacing w:line="600" w:lineRule="exact"/>
        <w:ind w:firstLine="640"/>
        <w:rPr>
          <w:rFonts w:eastAsia="仿宋_GB2312" w:cs="仿宋_GB2312"/>
          <w:sz w:val="32"/>
          <w:szCs w:val="32"/>
        </w:rPr>
      </w:pPr>
      <w:r>
        <w:rPr>
          <w:rFonts w:hint="eastAsia" w:eastAsia="仿宋_GB2312" w:cs="仿宋_GB2312"/>
          <w:b/>
          <w:bCs/>
          <w:sz w:val="32"/>
          <w:szCs w:val="32"/>
        </w:rPr>
        <w:t>15.住房保障（类）住房改革（款）住房公积金（项）：</w:t>
      </w:r>
      <w:r>
        <w:rPr>
          <w:rFonts w:hint="eastAsia" w:eastAsia="仿宋_GB2312" w:cs="仿宋_GB2312"/>
          <w:sz w:val="32"/>
          <w:szCs w:val="32"/>
        </w:rPr>
        <w:t>支出决算为676.22万元，完成预算</w:t>
      </w:r>
      <w:r>
        <w:rPr>
          <w:rFonts w:eastAsia="仿宋_GB2312" w:cs="仿宋_GB2312"/>
          <w:sz w:val="32"/>
          <w:szCs w:val="32"/>
        </w:rPr>
        <w:t>100</w:t>
      </w:r>
      <w:r>
        <w:rPr>
          <w:rFonts w:hint="eastAsia" w:eastAsia="仿宋_GB2312" w:cs="仿宋_GB2312"/>
          <w:sz w:val="32"/>
          <w:szCs w:val="32"/>
        </w:rPr>
        <w:t>%。</w:t>
      </w:r>
    </w:p>
    <w:p w14:paraId="5071F3DF">
      <w:pPr>
        <w:tabs>
          <w:tab w:val="right" w:pos="8306"/>
        </w:tabs>
        <w:spacing w:line="600" w:lineRule="exact"/>
        <w:ind w:firstLine="640"/>
        <w:outlineLvl w:val="1"/>
        <w:rPr>
          <w:rFonts w:eastAsia="黑体"/>
          <w:sz w:val="32"/>
          <w:szCs w:val="32"/>
        </w:rPr>
      </w:pPr>
      <w:bookmarkStart w:id="30" w:name="_Toc15396608"/>
      <w:bookmarkStart w:id="31" w:name="_Toc15377214"/>
    </w:p>
    <w:p w14:paraId="3EA59C7C">
      <w:pPr>
        <w:tabs>
          <w:tab w:val="right" w:pos="8306"/>
        </w:tabs>
        <w:spacing w:line="600" w:lineRule="exact"/>
        <w:ind w:firstLine="640"/>
        <w:outlineLvl w:val="1"/>
        <w:rPr>
          <w:rStyle w:val="30"/>
          <w:rFonts w:ascii="Times New Roman" w:hAnsi="Times New Roman"/>
        </w:rPr>
      </w:pPr>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0"/>
      <w:bookmarkEnd w:id="31"/>
      <w:r>
        <w:rPr>
          <w:rStyle w:val="30"/>
          <w:rFonts w:ascii="Times New Roman" w:hAnsi="Times New Roman" w:eastAsia="黑体"/>
          <w:b w:val="0"/>
        </w:rPr>
        <w:tab/>
      </w:r>
    </w:p>
    <w:p w14:paraId="72711F27">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b/>
          <w:bCs/>
          <w:sz w:val="32"/>
          <w:szCs w:val="32"/>
        </w:rPr>
        <w:t>7836.84</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78C520C3">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b/>
          <w:bCs/>
          <w:sz w:val="32"/>
          <w:szCs w:val="32"/>
        </w:rPr>
        <w:t>7191.91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元，主要包括：基本工资、津贴补贴、奖金、绩效工资、机关事业单位基本养老保险缴费、职业年金缴费、职业基本医疗保险缴费、公务员医疗补助缴费、其他社会保障缴费、住房公积金、其他工资福利支出等。</w:t>
      </w:r>
      <w:r>
        <w:rPr>
          <w:rFonts w:hint="eastAsia" w:eastAsia="仿宋_GB2312" w:cs="仿宋_GB2312"/>
          <w:sz w:val="32"/>
          <w:szCs w:val="32"/>
        </w:rPr>
        <w:br w:type="textWrapping"/>
      </w:r>
      <w:r>
        <w:rPr>
          <w:rFonts w:hint="eastAsia" w:eastAsia="仿宋_GB2312" w:cs="仿宋_GB2312"/>
          <w:sz w:val="32"/>
          <w:szCs w:val="32"/>
        </w:rPr>
        <w:t xml:space="preserve">   公用经费</w:t>
      </w:r>
      <w:r>
        <w:rPr>
          <w:rFonts w:hint="eastAsia" w:ascii="仿宋_GB2312" w:hAnsi="仿宋_GB2312" w:eastAsia="仿宋_GB2312" w:cs="仿宋_GB2312"/>
          <w:b/>
          <w:bCs/>
          <w:sz w:val="32"/>
          <w:szCs w:val="32"/>
        </w:rPr>
        <w:t>644.93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电费、邮电费、物业管理费、差旅费、维修（护）费、会议费、公务接待费、专用材料费、劳务费、委托业务费、工会经费、福利费、公务用车运行维护费、其他交通费用、其他商品和服务支出等。</w:t>
      </w:r>
    </w:p>
    <w:p w14:paraId="3D86D3F3">
      <w:pPr>
        <w:pStyle w:val="2"/>
        <w:ind w:left="420"/>
      </w:pPr>
    </w:p>
    <w:p w14:paraId="787DD589">
      <w:pPr>
        <w:spacing w:line="600" w:lineRule="exact"/>
        <w:ind w:firstLine="640"/>
        <w:outlineLvl w:val="1"/>
        <w:rPr>
          <w:rStyle w:val="30"/>
          <w:rFonts w:ascii="Times New Roman" w:hAnsi="Times New Roman" w:eastAsia="黑体"/>
          <w:b w:val="0"/>
        </w:rPr>
      </w:pPr>
      <w:bookmarkStart w:id="32" w:name="_Toc15377215"/>
      <w:bookmarkStart w:id="33"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2"/>
      <w:bookmarkEnd w:id="33"/>
    </w:p>
    <w:p w14:paraId="0E75D4D2">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59722D11">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b/>
          <w:bCs/>
          <w:sz w:val="32"/>
          <w:szCs w:val="32"/>
        </w:rPr>
        <w:t>39.45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b/>
          <w:bCs/>
          <w:sz w:val="32"/>
          <w:szCs w:val="32"/>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b/>
          <w:bCs/>
          <w:sz w:val="32"/>
          <w:szCs w:val="32"/>
        </w:rPr>
        <w:t>16.65</w:t>
      </w:r>
      <w:r>
        <w:rPr>
          <w:rFonts w:hint="eastAsia" w:eastAsia="仿宋_GB2312" w:cs="仿宋_GB2312"/>
          <w:sz w:val="32"/>
          <w:szCs w:val="32"/>
        </w:rPr>
        <w:t>万元，下降</w:t>
      </w:r>
      <w:r>
        <w:rPr>
          <w:rFonts w:hint="eastAsia" w:eastAsia="仿宋_GB2312" w:cs="仿宋_GB2312"/>
          <w:b/>
          <w:bCs/>
          <w:sz w:val="32"/>
          <w:szCs w:val="32"/>
        </w:rPr>
        <w:t>29.68</w:t>
      </w:r>
      <w:r>
        <w:rPr>
          <w:rFonts w:hint="eastAsia" w:eastAsia="仿宋_GB2312" w:cs="仿宋_GB2312"/>
          <w:sz w:val="32"/>
          <w:szCs w:val="32"/>
        </w:rPr>
        <w:t>%。决算数与预算数持平的主要原因是各项支出按照预算进行了严格监控</w:t>
      </w:r>
      <w:r>
        <w:rPr>
          <w:rFonts w:hint="eastAsia" w:eastAsia="仿宋_GB2312" w:cs="仿宋_GB2312"/>
          <w:b/>
          <w:bCs/>
          <w:sz w:val="32"/>
          <w:szCs w:val="32"/>
        </w:rPr>
        <w:t>。</w:t>
      </w:r>
    </w:p>
    <w:p w14:paraId="0C37C889">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5314DDB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2024年度“三公”经费财政拨款支出决算中，公务用车购置及运行维护费支出决算</w:t>
      </w:r>
      <w:r>
        <w:rPr>
          <w:rFonts w:hint="eastAsia" w:ascii="仿宋_GB2312" w:hAnsi="仿宋_GB2312" w:eastAsia="仿宋_GB2312" w:cs="仿宋_GB2312"/>
          <w:b/>
          <w:bCs/>
          <w:sz w:val="32"/>
          <w:szCs w:val="32"/>
        </w:rPr>
        <w:t>33.82</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85.73</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b/>
          <w:bCs/>
          <w:sz w:val="32"/>
          <w:szCs w:val="32"/>
        </w:rPr>
        <w:t>5.63</w:t>
      </w:r>
      <w:r>
        <w:rPr>
          <w:rFonts w:hint="eastAsia" w:ascii="仿宋_GB2312" w:hAnsi="仿宋_GB2312" w:eastAsia="仿宋_GB2312" w:cs="仿宋_GB2312"/>
          <w:sz w:val="32"/>
          <w:szCs w:val="32"/>
        </w:rPr>
        <w:t>万元，占</w:t>
      </w:r>
      <w:r>
        <w:rPr>
          <w:rFonts w:hint="eastAsia" w:ascii="仿宋_GB2312" w:hAnsi="仿宋_GB2312" w:eastAsia="仿宋_GB2312" w:cs="仿宋_GB2312"/>
          <w:b/>
          <w:bCs/>
          <w:sz w:val="32"/>
          <w:szCs w:val="32"/>
        </w:rPr>
        <w:t>14.27</w:t>
      </w:r>
      <w:r>
        <w:rPr>
          <w:rFonts w:hint="eastAsia" w:ascii="仿宋_GB2312" w:hAnsi="仿宋_GB2312" w:eastAsia="仿宋_GB2312" w:cs="仿宋_GB2312"/>
          <w:sz w:val="32"/>
          <w:szCs w:val="32"/>
        </w:rPr>
        <w:t>%。具体情况如下：</w:t>
      </w:r>
    </w:p>
    <w:p w14:paraId="628A0320">
      <w:pPr>
        <w:pStyle w:val="2"/>
        <w:ind w:left="0" w:leftChars="0" w:firstLine="0" w:firstLineChars="0"/>
        <w:jc w:val="center"/>
      </w:pPr>
      <w:r>
        <w:drawing>
          <wp:inline distT="0" distB="0" distL="114300" distR="114300">
            <wp:extent cx="5256530" cy="3393440"/>
            <wp:effectExtent l="4445" t="4445" r="9525" b="571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A6E06E">
      <w:pPr>
        <w:spacing w:line="600" w:lineRule="exact"/>
        <w:jc w:val="center"/>
        <w:rPr>
          <w:rFonts w:eastAsia="仿宋_GB2312" w:cs="仿宋_GB2312"/>
          <w:sz w:val="32"/>
          <w:szCs w:val="32"/>
        </w:rPr>
      </w:pPr>
      <w:r>
        <w:rPr>
          <w:rFonts w:hint="eastAsia" w:eastAsia="仿宋_GB2312" w:cs="仿宋_GB2312"/>
          <w:sz w:val="32"/>
          <w:szCs w:val="32"/>
        </w:rPr>
        <w:t>图7：“三公”经费财政拨款支出结构</w:t>
      </w:r>
    </w:p>
    <w:p w14:paraId="13FCB4D4">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w:t>
      </w:r>
      <w:r>
        <w:rPr>
          <w:rFonts w:hint="eastAsia" w:eastAsia="仿宋_GB2312" w:cs="仿宋_GB2312"/>
          <w:sz w:val="32"/>
          <w:szCs w:val="32"/>
        </w:rPr>
        <w:t>全年未安排因公出国（境）团组，也未安排此项经费预算。</w:t>
      </w:r>
    </w:p>
    <w:p w14:paraId="60B1ECD3">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33.82万</w:t>
      </w:r>
      <w:r>
        <w:rPr>
          <w:rFonts w:hint="eastAsia" w:eastAsia="仿宋_GB2312" w:cs="仿宋_GB2312"/>
          <w:b/>
          <w:bCs/>
          <w:sz w:val="32"/>
          <w:szCs w:val="32"/>
        </w:rPr>
        <w:t>元。</w:t>
      </w:r>
      <w:r>
        <w:rPr>
          <w:rFonts w:hint="eastAsia" w:eastAsia="仿宋_GB2312" w:cs="仿宋_GB2312"/>
          <w:sz w:val="32"/>
          <w:szCs w:val="32"/>
        </w:rPr>
        <w:t>公务用车购置及运行维护费支出决算比2023年度增加7.11万元，增长26.62%。主要原因是2024年新购置了一辆公务用车。</w:t>
      </w:r>
    </w:p>
    <w:p w14:paraId="24D74341">
      <w:pPr>
        <w:spacing w:line="600" w:lineRule="exact"/>
        <w:ind w:firstLine="640"/>
        <w:rPr>
          <w:rFonts w:eastAsia="仿宋_GB2312" w:cs="仿宋_GB2312"/>
          <w:sz w:val="32"/>
          <w:szCs w:val="32"/>
        </w:rPr>
      </w:pPr>
      <w:r>
        <w:rPr>
          <w:rFonts w:hint="eastAsia" w:eastAsia="仿宋_GB2312" w:cs="仿宋_GB2312"/>
          <w:sz w:val="32"/>
          <w:szCs w:val="32"/>
        </w:rPr>
        <w:t>其中：</w:t>
      </w:r>
      <w:r>
        <w:rPr>
          <w:rFonts w:hint="eastAsia" w:eastAsia="仿宋_GB2312" w:cs="仿宋_GB2312"/>
          <w:b/>
          <w:bCs/>
          <w:sz w:val="32"/>
          <w:szCs w:val="32"/>
        </w:rPr>
        <w:t>公务用车购置支</w:t>
      </w:r>
      <w:r>
        <w:rPr>
          <w:rFonts w:hint="eastAsia" w:ascii="仿宋_GB2312" w:hAnsi="仿宋_GB2312" w:eastAsia="仿宋_GB2312" w:cs="仿宋_GB2312"/>
          <w:b/>
          <w:bCs/>
          <w:sz w:val="32"/>
          <w:szCs w:val="32"/>
        </w:rPr>
        <w:t>出</w:t>
      </w:r>
      <w:r>
        <w:rPr>
          <w:rFonts w:hint="eastAsia" w:ascii="仿宋_GB2312" w:hAnsi="仿宋_GB2312" w:eastAsia="仿宋_GB2312" w:cs="仿宋_GB2312"/>
          <w:sz w:val="32"/>
          <w:szCs w:val="32"/>
        </w:rPr>
        <w:t>22.12</w:t>
      </w:r>
      <w:r>
        <w:rPr>
          <w:rFonts w:hint="eastAsia" w:eastAsia="仿宋_GB2312" w:cs="仿宋_GB2312"/>
          <w:sz w:val="32"/>
          <w:szCs w:val="32"/>
        </w:rPr>
        <w:t>万元。全年按规定更新购置公务用车1辆，其中：商务车1辆、金额</w:t>
      </w:r>
      <w:r>
        <w:rPr>
          <w:rFonts w:eastAsia="仿宋_GB2312" w:cs="仿宋_GB2312"/>
          <w:sz w:val="32"/>
          <w:szCs w:val="32"/>
        </w:rPr>
        <w:t>22.12</w:t>
      </w:r>
      <w:r>
        <w:rPr>
          <w:rFonts w:hint="eastAsia" w:eastAsia="仿宋_GB2312" w:cs="仿宋_GB2312"/>
          <w:sz w:val="32"/>
          <w:szCs w:val="32"/>
        </w:rPr>
        <w:t>万元，主要用于学校行政、教学、招生所需。截至2024年12月31日，单位共有公务用车4辆，</w:t>
      </w:r>
      <w:r>
        <w:rPr>
          <w:rFonts w:hint="eastAsia" w:eastAsia="仿宋_GB2312" w:cs="仿宋_GB2312"/>
          <w:color w:val="000000" w:themeColor="text1"/>
          <w:sz w:val="32"/>
          <w:szCs w:val="32"/>
          <w14:textFill>
            <w14:solidFill>
              <w14:schemeClr w14:val="tx1"/>
            </w14:solidFill>
          </w14:textFill>
        </w:rPr>
        <w:t>其中：轿车</w:t>
      </w:r>
      <w:r>
        <w:rPr>
          <w:rFonts w:eastAsia="仿宋_GB2312" w:cs="仿宋_GB2312"/>
          <w:sz w:val="32"/>
          <w:szCs w:val="32"/>
        </w:rPr>
        <w:t>1</w:t>
      </w:r>
      <w:r>
        <w:rPr>
          <w:rFonts w:hint="eastAsia" w:eastAsia="仿宋_GB2312" w:cs="仿宋_GB2312"/>
          <w:sz w:val="32"/>
          <w:szCs w:val="32"/>
        </w:rPr>
        <w:t>辆、商务车2辆、越野车1辆。</w:t>
      </w:r>
    </w:p>
    <w:p w14:paraId="713BDDF7">
      <w:pPr>
        <w:spacing w:line="600" w:lineRule="exact"/>
        <w:ind w:firstLine="640"/>
        <w:rPr>
          <w:rFonts w:eastAsia="仿宋_GB2312" w:cs="仿宋_GB2312"/>
          <w:sz w:val="32"/>
          <w:szCs w:val="32"/>
        </w:rPr>
      </w:pPr>
      <w:r>
        <w:rPr>
          <w:rFonts w:hint="eastAsia" w:eastAsia="仿宋_GB2312" w:cs="仿宋_GB2312"/>
          <w:b/>
          <w:bCs/>
          <w:sz w:val="32"/>
          <w:szCs w:val="32"/>
        </w:rPr>
        <w:t>公务用车运行维护费支</w:t>
      </w:r>
      <w:r>
        <w:rPr>
          <w:rFonts w:hint="eastAsia" w:ascii="仿宋_GB2312" w:hAnsi="仿宋_GB2312" w:eastAsia="仿宋_GB2312" w:cs="仿宋_GB2312"/>
          <w:b/>
          <w:bCs/>
          <w:sz w:val="32"/>
          <w:szCs w:val="32"/>
        </w:rPr>
        <w:t>出</w:t>
      </w:r>
      <w:r>
        <w:rPr>
          <w:rFonts w:hint="eastAsia" w:ascii="仿宋_GB2312" w:hAnsi="仿宋_GB2312" w:eastAsia="仿宋_GB2312" w:cs="仿宋_GB2312"/>
          <w:sz w:val="32"/>
          <w:szCs w:val="32"/>
        </w:rPr>
        <w:t>11.7</w:t>
      </w:r>
      <w:r>
        <w:rPr>
          <w:rFonts w:hint="eastAsia" w:eastAsia="仿宋_GB2312" w:cs="仿宋_GB2312"/>
          <w:sz w:val="32"/>
          <w:szCs w:val="32"/>
        </w:rPr>
        <w:t>万元。主要用于</w:t>
      </w:r>
      <w:r>
        <w:rPr>
          <w:rFonts w:hint="eastAsia" w:ascii="仿宋_GB2312" w:eastAsia="仿宋_GB2312"/>
          <w:sz w:val="32"/>
          <w:szCs w:val="32"/>
        </w:rPr>
        <w:t>学校行政、教学、招生等所需的公务用车燃料费、维修费、过路过桥费、保险费等支出</w:t>
      </w:r>
      <w:r>
        <w:rPr>
          <w:rFonts w:hint="eastAsia" w:eastAsia="仿宋_GB2312" w:cs="仿宋_GB2312"/>
          <w:sz w:val="32"/>
          <w:szCs w:val="32"/>
        </w:rPr>
        <w:t>。</w:t>
      </w:r>
    </w:p>
    <w:p w14:paraId="20BF4644">
      <w:pPr>
        <w:spacing w:line="600" w:lineRule="exact"/>
        <w:ind w:firstLine="640"/>
        <w:rPr>
          <w:rFonts w:ascii="仿宋_GB2312" w:eastAsia="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5.63万</w:t>
      </w:r>
      <w:r>
        <w:rPr>
          <w:rFonts w:hint="eastAsia" w:eastAsia="仿宋_GB2312" w:cs="仿宋_GB2312"/>
          <w:b/>
          <w:bCs/>
          <w:sz w:val="32"/>
          <w:szCs w:val="32"/>
        </w:rPr>
        <w:t>元。</w:t>
      </w:r>
      <w:r>
        <w:rPr>
          <w:rFonts w:hint="eastAsia" w:eastAsia="仿宋_GB2312" w:cs="仿宋_GB2312"/>
          <w:sz w:val="32"/>
          <w:szCs w:val="32"/>
        </w:rPr>
        <w:t>公务接待费支出决算比2023年度减少1.33万元，下降19.11%。主要原因是单位</w:t>
      </w:r>
      <w:r>
        <w:rPr>
          <w:rFonts w:hint="eastAsia" w:ascii="仿宋_GB2312" w:eastAsia="仿宋_GB2312"/>
          <w:sz w:val="32"/>
          <w:szCs w:val="32"/>
        </w:rPr>
        <w:t>积极响应政府号召，压减</w:t>
      </w:r>
      <w:r>
        <w:rPr>
          <w:rFonts w:hint="eastAsia" w:ascii="仿宋_GB2312" w:eastAsia="仿宋_GB2312"/>
          <w:sz w:val="32"/>
          <w:szCs w:val="32"/>
          <w:lang w:eastAsia="zh-CN"/>
        </w:rPr>
        <w:t>“</w:t>
      </w:r>
      <w:r>
        <w:rPr>
          <w:rFonts w:hint="eastAsia" w:ascii="仿宋_GB2312" w:eastAsia="仿宋_GB2312"/>
          <w:sz w:val="32"/>
          <w:szCs w:val="32"/>
        </w:rPr>
        <w:t>三公</w:t>
      </w:r>
      <w:r>
        <w:rPr>
          <w:rFonts w:hint="eastAsia" w:ascii="仿宋_GB2312" w:eastAsia="仿宋_GB2312"/>
          <w:sz w:val="32"/>
          <w:szCs w:val="32"/>
          <w:lang w:eastAsia="zh-CN"/>
        </w:rPr>
        <w:t>”</w:t>
      </w:r>
      <w:r>
        <w:rPr>
          <w:rFonts w:hint="eastAsia" w:ascii="仿宋_GB2312" w:eastAsia="仿宋_GB2312"/>
          <w:sz w:val="32"/>
          <w:szCs w:val="32"/>
        </w:rPr>
        <w:t>经费。</w:t>
      </w:r>
    </w:p>
    <w:p w14:paraId="64F76A27">
      <w:pPr>
        <w:spacing w:line="600" w:lineRule="exact"/>
        <w:ind w:firstLine="640"/>
        <w:rPr>
          <w:rFonts w:eastAsia="仿宋_GB2312" w:cs="仿宋_GB2312"/>
          <w:sz w:val="32"/>
          <w:szCs w:val="32"/>
        </w:rPr>
      </w:pPr>
      <w:r>
        <w:rPr>
          <w:rFonts w:hint="eastAsia" w:eastAsia="仿宋_GB2312" w:cs="仿宋_GB2312"/>
          <w:b/>
          <w:bCs/>
          <w:sz w:val="32"/>
          <w:szCs w:val="32"/>
        </w:rPr>
        <w:t>国内公务接待支</w:t>
      </w:r>
      <w:r>
        <w:rPr>
          <w:rFonts w:hint="eastAsia" w:ascii="仿宋_GB2312" w:hAnsi="仿宋_GB2312" w:eastAsia="仿宋_GB2312" w:cs="仿宋_GB2312"/>
          <w:b/>
          <w:bCs/>
          <w:sz w:val="32"/>
          <w:szCs w:val="32"/>
        </w:rPr>
        <w:t>出</w:t>
      </w:r>
      <w:r>
        <w:rPr>
          <w:rFonts w:hint="eastAsia" w:ascii="仿宋_GB2312" w:hAnsi="仿宋_GB2312" w:eastAsia="仿宋_GB2312" w:cs="仿宋_GB2312"/>
          <w:sz w:val="32"/>
          <w:szCs w:val="32"/>
        </w:rPr>
        <w:t>5.63万</w:t>
      </w:r>
      <w:r>
        <w:rPr>
          <w:rFonts w:hint="eastAsia" w:eastAsia="仿宋_GB2312" w:cs="仿宋_GB2312"/>
          <w:sz w:val="32"/>
          <w:szCs w:val="32"/>
        </w:rPr>
        <w:t>元，</w:t>
      </w:r>
      <w:r>
        <w:rPr>
          <w:rFonts w:hint="eastAsia" w:eastAsia="仿宋_GB2312" w:cs="仿宋_GB2312"/>
          <w:color w:val="000000" w:themeColor="text1"/>
          <w:sz w:val="32"/>
          <w:szCs w:val="32"/>
          <w14:textFill>
            <w14:solidFill>
              <w14:schemeClr w14:val="tx1"/>
            </w14:solidFill>
          </w14:textFill>
        </w:rPr>
        <w:t>主要用于</w:t>
      </w:r>
      <w:r>
        <w:rPr>
          <w:rFonts w:hint="eastAsia" w:eastAsia="仿宋_GB2312" w:cs="仿宋_GB2312"/>
          <w:color w:val="auto"/>
          <w:sz w:val="32"/>
          <w:szCs w:val="32"/>
        </w:rPr>
        <w:t>接待四川师范</w:t>
      </w:r>
      <w:r>
        <w:rPr>
          <w:rFonts w:hint="eastAsia" w:eastAsia="仿宋_GB2312" w:cs="仿宋_GB2312"/>
          <w:color w:val="auto"/>
          <w:sz w:val="32"/>
          <w:szCs w:val="32"/>
          <w:lang w:eastAsia="zh-CN"/>
        </w:rPr>
        <w:t>大学</w:t>
      </w:r>
      <w:r>
        <w:rPr>
          <w:rFonts w:hint="eastAsia" w:eastAsia="仿宋_GB2312" w:cs="仿宋_GB2312"/>
          <w:color w:val="auto"/>
          <w:sz w:val="32"/>
          <w:szCs w:val="32"/>
        </w:rPr>
        <w:t>、西南石油大学、川南幼专等外校人员到校学习交流，省考试院、攀枝花教体局、木里县教体局和科技局、雅安市心理协会等外来单位到校调研以及广东省基金会、普格县旅游公司等其他企业到校开展活动所产生的用餐费</w:t>
      </w:r>
      <w:r>
        <w:rPr>
          <w:rFonts w:hint="eastAsia" w:eastAsia="仿宋_GB2312" w:cs="仿宋_GB2312"/>
          <w:color w:val="auto"/>
          <w:sz w:val="32"/>
          <w:szCs w:val="32"/>
          <w:lang w:eastAsia="zh-CN"/>
        </w:rPr>
        <w:t>、住宿费</w:t>
      </w:r>
      <w:r>
        <w:rPr>
          <w:rFonts w:hint="eastAsia" w:eastAsia="仿宋_GB2312" w:cs="仿宋_GB2312"/>
          <w:sz w:val="32"/>
          <w:szCs w:val="32"/>
        </w:rPr>
        <w:t>等。国内公务接</w:t>
      </w:r>
      <w:r>
        <w:rPr>
          <w:rFonts w:hint="eastAsia" w:ascii="仿宋_GB2312" w:hAnsi="仿宋_GB2312" w:eastAsia="仿宋_GB2312" w:cs="仿宋_GB2312"/>
          <w:sz w:val="32"/>
          <w:szCs w:val="32"/>
        </w:rPr>
        <w:t>待44批次，503</w:t>
      </w:r>
      <w:r>
        <w:rPr>
          <w:rFonts w:hint="eastAsia" w:eastAsia="仿宋_GB2312" w:cs="仿宋_GB2312"/>
          <w:sz w:val="32"/>
          <w:szCs w:val="32"/>
        </w:rPr>
        <w:t>人次（不包括陪同人员），共计支出5.63万元。</w:t>
      </w:r>
    </w:p>
    <w:p w14:paraId="02B05701">
      <w:pPr>
        <w:spacing w:line="600" w:lineRule="exact"/>
        <w:ind w:firstLine="640"/>
        <w:rPr>
          <w:rFonts w:eastAsia="仿宋_GB2312" w:cs="仿宋_GB2312"/>
          <w:sz w:val="32"/>
          <w:szCs w:val="32"/>
        </w:rPr>
      </w:pPr>
      <w:r>
        <w:rPr>
          <w:rFonts w:hint="eastAsia" w:eastAsia="仿宋_GB2312" w:cs="仿宋_GB2312"/>
          <w:b/>
          <w:bCs/>
          <w:sz w:val="32"/>
          <w:szCs w:val="32"/>
        </w:rPr>
        <w:t>外事接待支</w:t>
      </w:r>
      <w:r>
        <w:rPr>
          <w:rFonts w:hint="eastAsia" w:ascii="仿宋_GB2312" w:hAnsi="仿宋_GB2312" w:eastAsia="仿宋_GB2312" w:cs="仿宋_GB2312"/>
          <w:b/>
          <w:bCs/>
          <w:sz w:val="32"/>
          <w:szCs w:val="32"/>
        </w:rPr>
        <w:t>出</w:t>
      </w:r>
      <w:r>
        <w:rPr>
          <w:rFonts w:hint="eastAsia" w:ascii="仿宋_GB2312" w:hAnsi="仿宋_GB2312" w:eastAsia="仿宋_GB2312" w:cs="仿宋_GB2312"/>
          <w:sz w:val="32"/>
          <w:szCs w:val="32"/>
        </w:rPr>
        <w:t>0万元，未发生外事接待</w:t>
      </w:r>
      <w:r>
        <w:rPr>
          <w:rFonts w:hint="eastAsia" w:eastAsia="仿宋_GB2312" w:cs="仿宋_GB2312"/>
          <w:sz w:val="32"/>
          <w:szCs w:val="32"/>
        </w:rPr>
        <w:t>。</w:t>
      </w:r>
      <w:bookmarkStart w:id="36" w:name="_Toc15396610"/>
      <w:bookmarkStart w:id="37" w:name="_Toc15377218"/>
    </w:p>
    <w:p w14:paraId="42066601">
      <w:pPr>
        <w:pStyle w:val="2"/>
        <w:ind w:left="420"/>
      </w:pPr>
    </w:p>
    <w:p w14:paraId="0A840764">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6"/>
      <w:bookmarkEnd w:id="37"/>
    </w:p>
    <w:p w14:paraId="061C3557">
      <w:pPr>
        <w:spacing w:line="600" w:lineRule="exact"/>
        <w:ind w:firstLine="640"/>
        <w:rPr>
          <w:rFonts w:hint="eastAsia" w:ascii="仿宋_GB2312" w:hAnsi="仿宋" w:eastAsia="仿宋_GB2312"/>
          <w:sz w:val="32"/>
          <w:szCs w:val="32"/>
        </w:rPr>
      </w:pPr>
      <w:r>
        <w:rPr>
          <w:rFonts w:hint="eastAsia" w:ascii="仿宋_GB2312" w:hAnsi="仿宋_GB2312" w:eastAsia="仿宋_GB2312" w:cs="仿宋_GB2312"/>
          <w:sz w:val="32"/>
          <w:szCs w:val="32"/>
        </w:rPr>
        <w:t>2024年度政府性基金预算财政拨款支出6800万元，占本年支出合计的31.65%</w:t>
      </w:r>
      <w:r>
        <w:rPr>
          <w:rFonts w:hint="eastAsia" w:eastAsia="仿宋_GB2312" w:cs="仿宋_GB2312"/>
          <w:sz w:val="32"/>
          <w:szCs w:val="32"/>
        </w:rPr>
        <w:t>。与2023年度相比，政府性基金预算财政拨款支出减少5800万元，下降46.03%。主要变动原因是</w:t>
      </w:r>
      <w:r>
        <w:rPr>
          <w:rFonts w:hint="eastAsia" w:ascii="仿宋_GB2312" w:hAnsi="仿宋" w:eastAsia="仿宋_GB2312"/>
          <w:sz w:val="32"/>
          <w:szCs w:val="32"/>
        </w:rPr>
        <w:t>本年财政仅下达西昌民族幼儿师范高等专科学校建设项目贷款还本资金6800万元。</w:t>
      </w:r>
    </w:p>
    <w:p w14:paraId="0336EBF4">
      <w:pPr>
        <w:pStyle w:val="2"/>
        <w:ind w:left="420"/>
      </w:pPr>
    </w:p>
    <w:p w14:paraId="6D069C98">
      <w:pPr>
        <w:spacing w:line="600" w:lineRule="exact"/>
        <w:ind w:left="630"/>
        <w:outlineLvl w:val="1"/>
        <w:rPr>
          <w:rStyle w:val="30"/>
          <w:rFonts w:ascii="Times New Roman" w:hAnsi="Times New Roman" w:eastAsia="黑体"/>
          <w:b w:val="0"/>
        </w:rPr>
      </w:pPr>
      <w:bookmarkStart w:id="38" w:name="_Toc15396611"/>
      <w:bookmarkStart w:id="39" w:name="_Toc15377219"/>
      <w:r>
        <w:rPr>
          <w:rStyle w:val="30"/>
          <w:rFonts w:hint="eastAsia" w:ascii="Times New Roman" w:hAnsi="Times New Roman" w:eastAsia="黑体"/>
          <w:b w:val="0"/>
        </w:rPr>
        <w:t>九、国有资本经营预算支出决算情况说明</w:t>
      </w:r>
      <w:bookmarkEnd w:id="38"/>
      <w:bookmarkEnd w:id="39"/>
    </w:p>
    <w:p w14:paraId="31B272D3">
      <w:pPr>
        <w:spacing w:line="600" w:lineRule="exact"/>
        <w:ind w:firstLine="640" w:firstLineChars="200"/>
        <w:rPr>
          <w:rFonts w:ascii="仿宋_GB2312" w:eastAsia="仿宋_GB2312"/>
          <w:color w:val="000000"/>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ascii="仿宋_GB2312" w:eastAsia="仿宋_GB2312"/>
          <w:color w:val="000000"/>
          <w:sz w:val="32"/>
          <w:szCs w:val="32"/>
        </w:rPr>
        <w:t>西昌民族幼儿师范高等专科学校</w:t>
      </w:r>
      <w:r>
        <w:rPr>
          <w:rFonts w:ascii="仿宋_GB2312" w:eastAsia="仿宋_GB2312"/>
          <w:color w:val="000000"/>
          <w:sz w:val="32"/>
          <w:szCs w:val="32"/>
        </w:rPr>
        <w:t>20</w:t>
      </w:r>
      <w:r>
        <w:rPr>
          <w:rFonts w:hint="eastAsia" w:ascii="仿宋_GB2312" w:eastAsia="仿宋_GB2312"/>
          <w:color w:val="000000"/>
          <w:sz w:val="32"/>
          <w:szCs w:val="32"/>
        </w:rPr>
        <w:t>24年没有国有资本经营预算拨款支出。</w:t>
      </w:r>
    </w:p>
    <w:p w14:paraId="25EBDFF2">
      <w:pPr>
        <w:pStyle w:val="2"/>
        <w:ind w:left="420"/>
      </w:pPr>
    </w:p>
    <w:p w14:paraId="64FB11D7">
      <w:pPr>
        <w:spacing w:line="600" w:lineRule="exact"/>
        <w:ind w:left="630"/>
        <w:outlineLvl w:val="1"/>
        <w:rPr>
          <w:rStyle w:val="30"/>
          <w:rFonts w:ascii="Times New Roman" w:hAnsi="Times New Roman" w:eastAsia="黑体"/>
          <w:b w:val="0"/>
        </w:rPr>
      </w:pPr>
      <w:bookmarkStart w:id="40" w:name="_Toc15396612"/>
      <w:bookmarkStart w:id="41" w:name="_Toc15377221"/>
      <w:r>
        <w:rPr>
          <w:rStyle w:val="30"/>
          <w:rFonts w:hint="eastAsia" w:ascii="Times New Roman" w:hAnsi="Times New Roman" w:eastAsia="黑体"/>
          <w:b w:val="0"/>
        </w:rPr>
        <w:t>十、其他重要事项的情况说明</w:t>
      </w:r>
      <w:bookmarkEnd w:id="40"/>
      <w:bookmarkEnd w:id="41"/>
    </w:p>
    <w:p w14:paraId="0EE85786">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0272712C">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西昌民族幼儿师范高等专科学校是非参公事业单位，没有机关运行经费支出。</w:t>
      </w:r>
    </w:p>
    <w:p w14:paraId="7B6C4F04">
      <w:pPr>
        <w:pStyle w:val="2"/>
        <w:ind w:left="420"/>
      </w:pPr>
    </w:p>
    <w:p w14:paraId="052048D7">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42971860">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b/>
          <w:bCs/>
          <w:sz w:val="32"/>
          <w:szCs w:val="32"/>
        </w:rPr>
        <w:t>西昌民族幼儿师范高等专科学校</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b/>
          <w:bCs/>
          <w:sz w:val="32"/>
          <w:szCs w:val="32"/>
        </w:rPr>
        <w:t>958.94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b/>
          <w:bCs/>
          <w:sz w:val="32"/>
          <w:szCs w:val="32"/>
        </w:rPr>
        <w:t>447.3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b/>
          <w:bCs/>
          <w:sz w:val="32"/>
          <w:szCs w:val="32"/>
        </w:rPr>
        <w:t>111.63</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b/>
          <w:bCs/>
          <w:sz w:val="32"/>
          <w:szCs w:val="32"/>
        </w:rPr>
        <w:t>400.01</w:t>
      </w:r>
      <w:r>
        <w:rPr>
          <w:rFonts w:hint="eastAsia" w:ascii="仿宋_GB2312" w:hAnsi="仿宋_GB2312" w:eastAsia="仿宋_GB2312" w:cs="仿宋_GB2312"/>
          <w:sz w:val="32"/>
          <w:szCs w:val="32"/>
        </w:rPr>
        <w:t>万元。主要用于</w:t>
      </w:r>
      <w:r>
        <w:rPr>
          <w:rFonts w:hint="eastAsia" w:ascii="仿宋_GB2312" w:eastAsia="仿宋_GB2312"/>
          <w:color w:val="000000"/>
          <w:sz w:val="32"/>
          <w:szCs w:val="32"/>
        </w:rPr>
        <w:t>设备购置、大型修缮、物业管理</w:t>
      </w:r>
      <w:r>
        <w:rPr>
          <w:rFonts w:hint="eastAsia" w:ascii="仿宋_GB2312" w:hAnsi="仿宋_GB2312" w:eastAsia="仿宋_GB2312" w:cs="仿宋_GB2312"/>
          <w:sz w:val="32"/>
          <w:szCs w:val="32"/>
        </w:rPr>
        <w:t>。</w:t>
      </w:r>
    </w:p>
    <w:p w14:paraId="398F0486">
      <w:pPr>
        <w:pStyle w:val="2"/>
        <w:ind w:left="420"/>
      </w:pPr>
    </w:p>
    <w:p w14:paraId="3EAD66DD">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1D50127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b/>
          <w:bCs/>
          <w:sz w:val="32"/>
          <w:szCs w:val="32"/>
        </w:rPr>
        <w:t>西昌民族幼儿师范高等专科学校</w:t>
      </w:r>
      <w:r>
        <w:rPr>
          <w:rFonts w:hint="eastAsia" w:ascii="仿宋_GB2312" w:hAnsi="仿宋_GB2312" w:eastAsia="仿宋_GB2312" w:cs="仿宋_GB2312"/>
          <w:sz w:val="32"/>
          <w:szCs w:val="32"/>
        </w:rPr>
        <w:t>共有车辆</w:t>
      </w: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辆，其中：主要负责人用车0辆、机要通信用车0辆、应急保障用车0辆、其他用车4辆，其他用车主要是用于</w:t>
      </w:r>
      <w:r>
        <w:rPr>
          <w:rFonts w:hint="eastAsia" w:ascii="仿宋_GB2312" w:eastAsia="仿宋_GB2312"/>
          <w:sz w:val="32"/>
          <w:szCs w:val="32"/>
        </w:rPr>
        <w:t>学校行政、教学、招生等所需的公务用车</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b/>
          <w:bCs/>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23E215F6">
      <w:pPr>
        <w:pStyle w:val="2"/>
        <w:ind w:left="420"/>
      </w:pPr>
    </w:p>
    <w:p w14:paraId="33713BF6">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5ACAFEB5">
      <w:pPr>
        <w:ind w:firstLine="640" w:firstLineChars="200"/>
        <w:rPr>
          <w:rFonts w:eastAsia="仿宋_GB2312" w:cs="仿宋_GB2312"/>
          <w:sz w:val="32"/>
          <w:szCs w:val="32"/>
        </w:rPr>
      </w:pPr>
      <w:r>
        <w:rPr>
          <w:rFonts w:hint="eastAsia" w:eastAsia="仿宋_GB2312" w:cs="仿宋_GB2312"/>
          <w:sz w:val="32"/>
          <w:szCs w:val="32"/>
        </w:rPr>
        <w:t>根据预算绩效管理要求，本单位在2024年度预算编制阶段，组织</w:t>
      </w:r>
      <w:r>
        <w:rPr>
          <w:rFonts w:hint="eastAsia" w:eastAsia="仿宋_GB2312" w:cs="仿宋_GB2312"/>
          <w:sz w:val="32"/>
          <w:szCs w:val="32"/>
          <w:lang w:val="en-US" w:eastAsia="zh-CN"/>
        </w:rPr>
        <w:t>学校相关处室和系部对</w:t>
      </w:r>
      <w:r>
        <w:rPr>
          <w:rFonts w:hint="eastAsia" w:eastAsia="仿宋_GB2312" w:cs="仿宋_GB2312"/>
          <w:color w:val="000000" w:themeColor="text1"/>
          <w:sz w:val="32"/>
          <w:szCs w:val="32"/>
          <w14:textFill>
            <w14:solidFill>
              <w14:schemeClr w14:val="tx1"/>
            </w14:solidFill>
          </w14:textFill>
        </w:rPr>
        <w:t>5</w:t>
      </w:r>
      <w:r>
        <w:rPr>
          <w:rFonts w:hint="eastAsia" w:eastAsia="仿宋_GB2312" w:cs="仿宋_GB2312"/>
          <w:color w:val="000000" w:themeColor="text1"/>
          <w:sz w:val="32"/>
          <w:szCs w:val="32"/>
          <w:lang w:val="en-US" w:eastAsia="zh-CN"/>
          <w14:textFill>
            <w14:solidFill>
              <w14:schemeClr w14:val="tx1"/>
            </w14:solidFill>
          </w14:textFill>
        </w:rPr>
        <w:t>4</w:t>
      </w:r>
      <w:r>
        <w:rPr>
          <w:rFonts w:hint="eastAsia" w:eastAsia="仿宋_GB2312" w:cs="仿宋_GB2312"/>
          <w:color w:val="000000" w:themeColor="text1"/>
          <w:sz w:val="32"/>
          <w:szCs w:val="32"/>
          <w14:textFill>
            <w14:solidFill>
              <w14:schemeClr w14:val="tx1"/>
            </w14:solidFill>
          </w14:textFill>
        </w:rPr>
        <w:t>个</w:t>
      </w:r>
      <w:r>
        <w:rPr>
          <w:rFonts w:hint="eastAsia" w:eastAsia="仿宋_GB2312" w:cs="仿宋_GB2312"/>
          <w:sz w:val="32"/>
          <w:szCs w:val="32"/>
        </w:rPr>
        <w:t>项目开展了预算事前绩效评估，对5</w:t>
      </w:r>
      <w:r>
        <w:rPr>
          <w:rFonts w:hint="eastAsia" w:eastAsia="仿宋_GB2312" w:cs="仿宋_GB2312"/>
          <w:sz w:val="32"/>
          <w:szCs w:val="32"/>
          <w:lang w:val="en-US" w:eastAsia="zh-CN"/>
        </w:rPr>
        <w:t>4</w:t>
      </w:r>
      <w:r>
        <w:rPr>
          <w:rFonts w:hint="eastAsia" w:eastAsia="仿宋_GB2312" w:cs="仿宋_GB2312"/>
          <w:sz w:val="32"/>
          <w:szCs w:val="32"/>
        </w:rPr>
        <w:t>个项目编制了绩效目标，预算执行过程中，选取5</w:t>
      </w:r>
      <w:r>
        <w:rPr>
          <w:rFonts w:hint="eastAsia" w:eastAsia="仿宋_GB2312" w:cs="仿宋_GB2312"/>
          <w:sz w:val="32"/>
          <w:szCs w:val="32"/>
          <w:lang w:val="en-US" w:eastAsia="zh-CN"/>
        </w:rPr>
        <w:t>4</w:t>
      </w:r>
      <w:r>
        <w:rPr>
          <w:rFonts w:hint="eastAsia" w:eastAsia="仿宋_GB2312" w:cs="仿宋_GB2312"/>
          <w:sz w:val="32"/>
          <w:szCs w:val="32"/>
        </w:rPr>
        <w:t>个项目开展绩效监控，</w:t>
      </w:r>
      <w:r>
        <w:rPr>
          <w:rFonts w:hint="eastAsia" w:ascii="仿宋_GB2312" w:eastAsia="仿宋_GB2312"/>
          <w:sz w:val="32"/>
          <w:szCs w:val="32"/>
        </w:rPr>
        <w:t>组织对5</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r>
        <w:rPr>
          <w:rFonts w:hint="eastAsia" w:eastAsia="仿宋_GB2312" w:cs="仿宋_GB2312"/>
          <w:sz w:val="32"/>
          <w:szCs w:val="32"/>
        </w:rPr>
        <w:br w:type="page"/>
      </w:r>
    </w:p>
    <w:p w14:paraId="389A4031">
      <w:pPr>
        <w:spacing w:line="600" w:lineRule="exact"/>
        <w:jc w:val="center"/>
        <w:outlineLvl w:val="0"/>
        <w:rPr>
          <w:rFonts w:eastAsia="黑体"/>
          <w:sz w:val="44"/>
          <w:szCs w:val="44"/>
        </w:rPr>
      </w:pPr>
      <w:bookmarkStart w:id="45" w:name="_Toc15377225"/>
      <w:bookmarkStart w:id="46" w:name="_Toc15396613"/>
      <w:r>
        <w:rPr>
          <w:rFonts w:hint="eastAsia" w:eastAsia="黑体"/>
          <w:sz w:val="44"/>
          <w:szCs w:val="44"/>
        </w:rPr>
        <w:t>第三部分  名词解释</w:t>
      </w:r>
      <w:bookmarkEnd w:id="45"/>
      <w:bookmarkEnd w:id="46"/>
    </w:p>
    <w:p w14:paraId="109D7ADC">
      <w:pPr>
        <w:spacing w:line="600" w:lineRule="exact"/>
        <w:jc w:val="left"/>
        <w:rPr>
          <w:b/>
          <w:sz w:val="44"/>
          <w:szCs w:val="44"/>
        </w:rPr>
      </w:pPr>
    </w:p>
    <w:p w14:paraId="047F0259">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1789BB32">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19DF1CBF">
      <w:pPr>
        <w:spacing w:line="600" w:lineRule="exact"/>
        <w:ind w:firstLine="640"/>
        <w:rPr>
          <w:rFonts w:eastAsia="仿宋_GB2312" w:cs="仿宋_GB2312"/>
          <w:sz w:val="32"/>
          <w:szCs w:val="32"/>
        </w:rPr>
      </w:pPr>
      <w:r>
        <w:rPr>
          <w:rFonts w:hint="eastAsia" w:eastAsia="仿宋_GB2312" w:cs="仿宋_GB2312"/>
          <w:sz w:val="32"/>
          <w:szCs w:val="32"/>
        </w:rPr>
        <w:t>3.其他收入：指单位取得的除上述收入以外的各项收入。主要是捐赠收入等。</w:t>
      </w:r>
    </w:p>
    <w:p w14:paraId="1F5E8BFA">
      <w:pPr>
        <w:spacing w:line="600" w:lineRule="exact"/>
        <w:ind w:firstLine="640"/>
        <w:rPr>
          <w:rFonts w:eastAsia="仿宋_GB2312" w:cs="仿宋_GB2312"/>
          <w:sz w:val="32"/>
          <w:szCs w:val="32"/>
        </w:rPr>
      </w:pPr>
      <w:r>
        <w:rPr>
          <w:rFonts w:hint="eastAsia" w:eastAsia="仿宋_GB2312" w:cs="仿宋_GB2312"/>
          <w:sz w:val="32"/>
          <w:szCs w:val="32"/>
        </w:rPr>
        <w:t>4.使用非财政拨款结余（含专用结余）：指事业单位使用以前年度积累的非财政拨款结余弥补当年收支差额的金额。</w:t>
      </w:r>
    </w:p>
    <w:p w14:paraId="092CBF54">
      <w:pPr>
        <w:spacing w:line="600" w:lineRule="exact"/>
        <w:ind w:firstLine="640"/>
        <w:rPr>
          <w:rFonts w:eastAsia="仿宋_GB2312" w:cs="仿宋_GB2312"/>
          <w:sz w:val="32"/>
          <w:szCs w:val="32"/>
        </w:rPr>
      </w:pPr>
      <w:r>
        <w:rPr>
          <w:rFonts w:hint="eastAsia" w:eastAsia="仿宋_GB2312" w:cs="仿宋_GB2312"/>
          <w:sz w:val="32"/>
          <w:szCs w:val="32"/>
        </w:rPr>
        <w:t xml:space="preserve">5.年初结转和结余：指以前年度尚未完成、结转到本年按有关规定继续使用的资金。 </w:t>
      </w:r>
    </w:p>
    <w:p w14:paraId="73743166">
      <w:pPr>
        <w:spacing w:line="600" w:lineRule="exact"/>
        <w:ind w:firstLine="640"/>
        <w:rPr>
          <w:rFonts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.年末结转和结余：指单位按有关规定结转到下年或以后年度继续使用的资金。</w:t>
      </w:r>
    </w:p>
    <w:p w14:paraId="4B9805B3">
      <w:pPr>
        <w:spacing w:line="600" w:lineRule="exact"/>
        <w:ind w:firstLine="640"/>
        <w:rPr>
          <w:rFonts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.一般公共服务（类）民族服务（款）其他民族事务（项）</w:t>
      </w:r>
      <w:r>
        <w:rPr>
          <w:rFonts w:hint="eastAsia" w:eastAsia="仿宋_GB2312" w:cs="仿宋_GB2312"/>
          <w:sz w:val="32"/>
          <w:szCs w:val="32"/>
          <w:lang w:eastAsia="zh-CN"/>
        </w:rPr>
        <w:t>：</w:t>
      </w:r>
      <w:r>
        <w:rPr>
          <w:rFonts w:hint="eastAsia" w:eastAsia="仿宋_GB2312" w:cs="仿宋_GB2312"/>
          <w:sz w:val="32"/>
          <w:szCs w:val="32"/>
        </w:rPr>
        <w:t>指反映除民族事务管理等专项支出以外其他用于民族事务方面的支出。</w:t>
      </w:r>
    </w:p>
    <w:p w14:paraId="221F7062">
      <w:pPr>
        <w:spacing w:line="600" w:lineRule="exact"/>
        <w:ind w:firstLine="640"/>
        <w:rPr>
          <w:rFonts w:ascii="仿宋_GB2312" w:eastAsia="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.教育（类）普通教育（款）其他普通教育（项）：指</w:t>
      </w:r>
      <w:r>
        <w:rPr>
          <w:rFonts w:hint="eastAsia" w:ascii="仿宋_GB2312" w:eastAsia="仿宋_GB2312"/>
          <w:sz w:val="32"/>
          <w:szCs w:val="32"/>
        </w:rPr>
        <w:t>反映其他用于普通教育方面的支出。</w:t>
      </w:r>
    </w:p>
    <w:p w14:paraId="2B27169A">
      <w:pPr>
        <w:spacing w:line="600" w:lineRule="exact"/>
        <w:ind w:firstLine="640"/>
        <w:rPr>
          <w:rFonts w:ascii="仿宋_GB2312" w:eastAsia="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.教育（类）职业教育（款）中等职业教育（项）：指</w:t>
      </w:r>
      <w:r>
        <w:rPr>
          <w:rFonts w:hint="eastAsia" w:ascii="仿宋_GB2312" w:eastAsia="仿宋_GB2312"/>
          <w:sz w:val="32"/>
          <w:szCs w:val="32"/>
        </w:rPr>
        <w:t>反映各部门举办的中等职业学校支出。</w:t>
      </w:r>
    </w:p>
    <w:p w14:paraId="159AD1DD">
      <w:pPr>
        <w:pStyle w:val="27"/>
        <w:spacing w:line="560" w:lineRule="exact"/>
        <w:ind w:firstLine="640" w:firstLineChars="200"/>
        <w:jc w:val="both"/>
        <w:rPr>
          <w:rFonts w:ascii="仿宋_GB2312" w:eastAsia="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0</w:t>
      </w:r>
      <w:r>
        <w:rPr>
          <w:rFonts w:hint="eastAsia" w:eastAsia="仿宋_GB2312" w:cs="仿宋_GB2312"/>
          <w:sz w:val="32"/>
          <w:szCs w:val="32"/>
        </w:rPr>
        <w:t>.教育（类）职业教育（款）高等职业教育（项）：指</w:t>
      </w:r>
      <w:r>
        <w:rPr>
          <w:rFonts w:hint="eastAsia" w:ascii="仿宋_GB2312" w:eastAsia="仿宋_GB2312"/>
          <w:sz w:val="32"/>
          <w:szCs w:val="32"/>
        </w:rPr>
        <w:t>反映经国家批准设立的高等职业大学、专科职业教育等方面的支出。</w:t>
      </w:r>
    </w:p>
    <w:p w14:paraId="6F71BC70">
      <w:pPr>
        <w:spacing w:line="600" w:lineRule="exact"/>
        <w:ind w:firstLine="640"/>
        <w:rPr>
          <w:rFonts w:ascii="仿宋_GB2312" w:eastAsia="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1</w:t>
      </w:r>
      <w:r>
        <w:rPr>
          <w:rFonts w:hint="eastAsia" w:eastAsia="仿宋_GB2312" w:cs="仿宋_GB2312"/>
          <w:sz w:val="32"/>
          <w:szCs w:val="32"/>
        </w:rPr>
        <w:t>.教育（类）其他教育支出（款）其他教育支出（项）：指反映除上述项目以外其他用于教育方面的支出。</w:t>
      </w:r>
    </w:p>
    <w:p w14:paraId="7956F485">
      <w:pPr>
        <w:spacing w:line="600" w:lineRule="exact"/>
        <w:ind w:firstLine="64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2</w:t>
      </w:r>
      <w:r>
        <w:rPr>
          <w:rFonts w:hint="eastAsia" w:eastAsia="仿宋_GB2312" w:cs="仿宋_GB2312"/>
          <w:sz w:val="32"/>
          <w:szCs w:val="32"/>
        </w:rPr>
        <w:t>.科学技术（类）技术研究与开发（款）其他技术研究与开发（项）：指反映除机构运行、科技成果转化与扩散、共性技术研究与开发等项目外其他用于技术研究与开发方面的支出。</w:t>
      </w:r>
    </w:p>
    <w:p w14:paraId="17EF7872">
      <w:pPr>
        <w:spacing w:line="600" w:lineRule="exact"/>
        <w:ind w:firstLine="64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3</w:t>
      </w:r>
      <w:r>
        <w:rPr>
          <w:rFonts w:hint="eastAsia" w:eastAsia="仿宋_GB2312" w:cs="仿宋_GB2312"/>
          <w:sz w:val="32"/>
          <w:szCs w:val="32"/>
        </w:rPr>
        <w:t>.科学技术（类）社会科学（款）社科基金支出（项）：指反映各级政府设立的社科基金支出。</w:t>
      </w:r>
    </w:p>
    <w:p w14:paraId="58EC7711">
      <w:pPr>
        <w:spacing w:line="600" w:lineRule="exact"/>
        <w:ind w:firstLine="64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4</w:t>
      </w:r>
      <w:r>
        <w:rPr>
          <w:rFonts w:hint="eastAsia" w:eastAsia="仿宋_GB2312" w:cs="仿宋_GB2312"/>
          <w:sz w:val="32"/>
          <w:szCs w:val="32"/>
        </w:rPr>
        <w:t>.社会保障和就业（类）人力资源和社会保障（款）其他人力资源和社会保障（项）：指除就业管理、劳动保障、社会保险、引进人才等多个项目以外其他用于人力资源和社会保障管理事务方面的支出。</w:t>
      </w:r>
    </w:p>
    <w:p w14:paraId="02A0B639">
      <w:pPr>
        <w:pStyle w:val="27"/>
        <w:spacing w:line="560" w:lineRule="exact"/>
        <w:ind w:firstLine="640" w:firstLineChars="200"/>
        <w:jc w:val="both"/>
        <w:rPr>
          <w:rFonts w:ascii="仿宋_GB2312" w:eastAsia="仿宋_GB2312"/>
          <w:sz w:val="32"/>
          <w:szCs w:val="32"/>
        </w:rPr>
      </w:pPr>
      <w:r>
        <w:rPr>
          <w:rFonts w:hint="eastAsia" w:ascii="Times New Roman" w:hAnsi="Times New Roman" w:eastAsia="仿宋_GB2312" w:cs="仿宋_GB2312"/>
          <w:color w:val="auto"/>
          <w:kern w:val="2"/>
          <w:sz w:val="32"/>
          <w:szCs w:val="32"/>
        </w:rPr>
        <w:t>1</w:t>
      </w:r>
      <w:r>
        <w:rPr>
          <w:rFonts w:hint="eastAsia" w:ascii="Times New Roman" w:hAnsi="Times New Roman" w:eastAsia="仿宋_GB2312" w:cs="仿宋_GB2312"/>
          <w:color w:val="auto"/>
          <w:kern w:val="2"/>
          <w:sz w:val="32"/>
          <w:szCs w:val="32"/>
          <w:lang w:val="en-US" w:eastAsia="zh-CN"/>
        </w:rPr>
        <w:t>5</w:t>
      </w:r>
      <w:r>
        <w:rPr>
          <w:rFonts w:hint="eastAsia" w:ascii="Times New Roman" w:hAnsi="Times New Roman" w:eastAsia="仿宋_GB2312" w:cs="仿宋_GB2312"/>
          <w:color w:val="auto"/>
          <w:kern w:val="2"/>
          <w:sz w:val="32"/>
          <w:szCs w:val="32"/>
        </w:rPr>
        <w:t>.</w:t>
      </w:r>
      <w:r>
        <w:rPr>
          <w:rFonts w:hint="eastAsia" w:eastAsia="仿宋_GB2312" w:cs="仿宋_GB2312"/>
          <w:sz w:val="32"/>
          <w:szCs w:val="32"/>
        </w:rPr>
        <w:t>社会保障和就业（类）行政事业单位养老支出（款）事业单位离退休（项）：指</w:t>
      </w:r>
      <w:r>
        <w:rPr>
          <w:rFonts w:hint="eastAsia" w:ascii="仿宋_GB2312" w:eastAsia="仿宋_GB2312"/>
          <w:sz w:val="32"/>
          <w:szCs w:val="32"/>
        </w:rPr>
        <w:t>事业单位开支的离退休经费。</w:t>
      </w:r>
    </w:p>
    <w:p w14:paraId="6A7B6386">
      <w:pPr>
        <w:pStyle w:val="27"/>
        <w:spacing w:line="560" w:lineRule="exact"/>
        <w:ind w:firstLine="640" w:firstLineChars="200"/>
        <w:jc w:val="both"/>
        <w:rPr>
          <w:rFonts w:ascii="仿宋_GB2312" w:eastAsia="仿宋_GB2312"/>
          <w:sz w:val="32"/>
          <w:szCs w:val="32"/>
        </w:rPr>
      </w:pPr>
      <w:r>
        <w:rPr>
          <w:rFonts w:hint="eastAsia" w:ascii="Times New Roman" w:hAnsi="Times New Roman" w:eastAsia="仿宋_GB2312" w:cs="仿宋_GB2312"/>
          <w:color w:val="auto"/>
          <w:kern w:val="2"/>
          <w:sz w:val="32"/>
          <w:szCs w:val="32"/>
        </w:rPr>
        <w:t>1</w:t>
      </w:r>
      <w:r>
        <w:rPr>
          <w:rFonts w:hint="eastAsia" w:eastAsia="仿宋_GB2312" w:cs="仿宋_GB2312"/>
          <w:color w:val="auto"/>
          <w:kern w:val="2"/>
          <w:sz w:val="32"/>
          <w:szCs w:val="32"/>
          <w:lang w:val="en-US" w:eastAsia="zh-CN"/>
        </w:rPr>
        <w:t>6</w:t>
      </w:r>
      <w:r>
        <w:rPr>
          <w:rFonts w:hint="eastAsia" w:ascii="Times New Roman" w:hAnsi="Times New Roman" w:eastAsia="仿宋_GB2312" w:cs="仿宋_GB2312"/>
          <w:color w:val="auto"/>
          <w:kern w:val="2"/>
          <w:sz w:val="32"/>
          <w:szCs w:val="32"/>
        </w:rPr>
        <w:t>.</w:t>
      </w:r>
      <w:r>
        <w:rPr>
          <w:rFonts w:hint="eastAsia" w:eastAsia="仿宋_GB2312" w:cs="仿宋_GB2312"/>
          <w:sz w:val="32"/>
          <w:szCs w:val="32"/>
        </w:rPr>
        <w:t>社会保障和就业（类）行政事业单位养老支出（款）机关事业单位基本养老保险缴费支出（项）：指</w:t>
      </w:r>
      <w:r>
        <w:rPr>
          <w:rFonts w:hint="eastAsia" w:ascii="仿宋_GB2312" w:eastAsia="仿宋_GB2312"/>
          <w:sz w:val="32"/>
          <w:szCs w:val="32"/>
        </w:rPr>
        <w:t>反映机关事业单位实施养老保险制度由单位缴纳的基本养老保险费支出。</w:t>
      </w:r>
    </w:p>
    <w:p w14:paraId="1AA5FC14">
      <w:pPr>
        <w:pStyle w:val="27"/>
        <w:spacing w:line="560" w:lineRule="exact"/>
        <w:ind w:firstLine="640" w:firstLineChars="200"/>
        <w:jc w:val="both"/>
      </w:pPr>
      <w:r>
        <w:rPr>
          <w:rFonts w:hint="eastAsia" w:ascii="Times New Roman" w:hAnsi="Times New Roman" w:eastAsia="仿宋_GB2312" w:cs="仿宋_GB2312"/>
          <w:color w:val="auto"/>
          <w:kern w:val="2"/>
          <w:sz w:val="32"/>
          <w:szCs w:val="32"/>
        </w:rPr>
        <w:t>1</w:t>
      </w:r>
      <w:r>
        <w:rPr>
          <w:rFonts w:hint="eastAsia" w:eastAsia="仿宋_GB2312" w:cs="仿宋_GB2312"/>
          <w:color w:val="auto"/>
          <w:kern w:val="2"/>
          <w:sz w:val="32"/>
          <w:szCs w:val="32"/>
          <w:lang w:val="en-US" w:eastAsia="zh-CN"/>
        </w:rPr>
        <w:t>7</w:t>
      </w:r>
      <w:r>
        <w:rPr>
          <w:rFonts w:hint="eastAsia" w:ascii="Times New Roman" w:hAnsi="Times New Roman" w:eastAsia="仿宋_GB2312" w:cs="仿宋_GB2312"/>
          <w:color w:val="auto"/>
          <w:kern w:val="2"/>
          <w:sz w:val="32"/>
          <w:szCs w:val="32"/>
        </w:rPr>
        <w:t>.</w:t>
      </w:r>
      <w:r>
        <w:rPr>
          <w:rFonts w:hint="eastAsia" w:eastAsia="仿宋_GB2312" w:cs="仿宋_GB2312"/>
          <w:sz w:val="32"/>
          <w:szCs w:val="32"/>
        </w:rPr>
        <w:t>社会保障和就业（类）行政事业单位养老支出（款）机关事业单位职业年金缴费支出（项）：指</w:t>
      </w:r>
      <w:r>
        <w:rPr>
          <w:rFonts w:hint="eastAsia" w:ascii="仿宋_GB2312" w:eastAsia="仿宋_GB2312"/>
          <w:sz w:val="32"/>
          <w:szCs w:val="32"/>
        </w:rPr>
        <w:t>反映机关事业单位实施养老保险制度由单位实际缴纳的职业年金支出。</w:t>
      </w:r>
    </w:p>
    <w:p w14:paraId="6CC44110">
      <w:pPr>
        <w:spacing w:line="600" w:lineRule="exact"/>
        <w:ind w:firstLine="64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8</w:t>
      </w:r>
      <w:r>
        <w:rPr>
          <w:rFonts w:hint="eastAsia" w:eastAsia="仿宋_GB2312" w:cs="仿宋_GB2312"/>
          <w:sz w:val="32"/>
          <w:szCs w:val="32"/>
        </w:rPr>
        <w:t>.卫生健康（类）公共卫生（款）重大公共卫生（项）：指反映重大疾病、重大传染病预防控制等重大公共卫生服务项目支出。</w:t>
      </w:r>
    </w:p>
    <w:p w14:paraId="4000ECB0">
      <w:pPr>
        <w:pStyle w:val="27"/>
        <w:spacing w:line="560" w:lineRule="exact"/>
        <w:ind w:firstLine="640" w:firstLineChars="200"/>
        <w:jc w:val="both"/>
        <w:rPr>
          <w:rFonts w:ascii="仿宋_GB2312" w:eastAsia="仿宋_GB2312"/>
          <w:sz w:val="32"/>
          <w:szCs w:val="32"/>
        </w:rPr>
      </w:pPr>
      <w:r>
        <w:rPr>
          <w:rFonts w:hint="eastAsia" w:ascii="Times New Roman" w:hAnsi="Times New Roman" w:eastAsia="仿宋_GB2312" w:cs="仿宋_GB2312"/>
          <w:color w:val="auto"/>
          <w:kern w:val="2"/>
          <w:sz w:val="32"/>
          <w:szCs w:val="32"/>
          <w:lang w:val="en-US" w:eastAsia="zh-CN"/>
        </w:rPr>
        <w:t>19</w:t>
      </w:r>
      <w:r>
        <w:rPr>
          <w:rFonts w:hint="eastAsia" w:eastAsia="仿宋_GB2312" w:cs="仿宋_GB2312"/>
          <w:sz w:val="32"/>
          <w:szCs w:val="32"/>
        </w:rPr>
        <w:t>.卫生健康（类）行政事业单位医疗（款）事业单位医疗（项）：指</w:t>
      </w:r>
      <w:r>
        <w:rPr>
          <w:rFonts w:hint="eastAsia" w:ascii="仿宋_GB2312" w:eastAsia="仿宋_GB2312"/>
          <w:sz w:val="32"/>
          <w:szCs w:val="32"/>
        </w:rPr>
        <w:t>反映财政部门安排的事业单位基本医疗保险缴费经费，未参加医疗保险的事业单位的公费医疗经费，按国家规定享受离休人员待遇的医疗经费。</w:t>
      </w:r>
    </w:p>
    <w:p w14:paraId="7E84E8BC">
      <w:pPr>
        <w:pStyle w:val="27"/>
        <w:spacing w:line="560" w:lineRule="exact"/>
        <w:ind w:firstLine="640" w:firstLineChars="200"/>
        <w:jc w:val="both"/>
        <w:rPr>
          <w:rFonts w:ascii="仿宋_GB2312" w:eastAsia="仿宋_GB2312"/>
          <w:sz w:val="32"/>
          <w:szCs w:val="32"/>
        </w:rPr>
      </w:pPr>
      <w:r>
        <w:rPr>
          <w:rFonts w:hint="eastAsia" w:ascii="Times New Roman" w:hAnsi="Times New Roman" w:eastAsia="仿宋_GB2312" w:cs="仿宋_GB2312"/>
          <w:color w:val="auto"/>
          <w:kern w:val="2"/>
          <w:sz w:val="32"/>
          <w:szCs w:val="32"/>
        </w:rPr>
        <w:t>2</w:t>
      </w:r>
      <w:r>
        <w:rPr>
          <w:rFonts w:hint="eastAsia" w:ascii="Times New Roman" w:hAnsi="Times New Roman" w:eastAsia="仿宋_GB2312" w:cs="仿宋_GB2312"/>
          <w:color w:val="auto"/>
          <w:kern w:val="2"/>
          <w:sz w:val="32"/>
          <w:szCs w:val="32"/>
          <w:lang w:val="en-US" w:eastAsia="zh-CN"/>
        </w:rPr>
        <w:t>0</w:t>
      </w:r>
      <w:r>
        <w:rPr>
          <w:rFonts w:hint="eastAsia" w:ascii="Times New Roman" w:hAnsi="Times New Roman" w:eastAsia="仿宋_GB2312" w:cs="仿宋_GB2312"/>
          <w:color w:val="auto"/>
          <w:kern w:val="2"/>
          <w:sz w:val="32"/>
          <w:szCs w:val="32"/>
        </w:rPr>
        <w:t>.</w:t>
      </w:r>
      <w:r>
        <w:rPr>
          <w:rFonts w:hint="eastAsia" w:eastAsia="仿宋_GB2312" w:cs="仿宋_GB2312"/>
          <w:color w:val="auto"/>
          <w:sz w:val="32"/>
          <w:szCs w:val="32"/>
        </w:rPr>
        <w:t>卫生</w:t>
      </w:r>
      <w:r>
        <w:rPr>
          <w:rFonts w:hint="eastAsia" w:eastAsia="仿宋_GB2312" w:cs="仿宋_GB2312"/>
          <w:sz w:val="32"/>
          <w:szCs w:val="32"/>
        </w:rPr>
        <w:t>健康（类）行政事业单位医疗（款）其他行政事业单位医疗（项）：指反映除行政单位医疗、事业单位医疗、公务员医疗补助等项目以外其他用于行政事业单位医疗方面的支出。</w:t>
      </w:r>
    </w:p>
    <w:p w14:paraId="4BE17B78">
      <w:pPr>
        <w:pStyle w:val="27"/>
        <w:spacing w:line="560" w:lineRule="exact"/>
        <w:ind w:firstLine="640" w:firstLineChars="200"/>
        <w:jc w:val="both"/>
      </w:pPr>
      <w:r>
        <w:rPr>
          <w:rFonts w:hint="eastAsia" w:ascii="Times New Roman" w:hAnsi="Times New Roman" w:eastAsia="仿宋_GB2312" w:cs="仿宋_GB2312"/>
          <w:color w:val="auto"/>
          <w:kern w:val="2"/>
          <w:sz w:val="32"/>
          <w:szCs w:val="32"/>
        </w:rPr>
        <w:t>2</w:t>
      </w:r>
      <w:r>
        <w:rPr>
          <w:rFonts w:hint="eastAsia" w:ascii="Times New Roman" w:hAnsi="Times New Roman" w:eastAsia="仿宋_GB2312" w:cs="仿宋_GB2312"/>
          <w:color w:val="auto"/>
          <w:kern w:val="2"/>
          <w:sz w:val="32"/>
          <w:szCs w:val="32"/>
          <w:lang w:val="en-US" w:eastAsia="zh-CN"/>
        </w:rPr>
        <w:t>1</w:t>
      </w:r>
      <w:r>
        <w:rPr>
          <w:rFonts w:hint="eastAsia" w:eastAsia="仿宋_GB2312" w:cs="仿宋_GB2312"/>
          <w:sz w:val="32"/>
          <w:szCs w:val="32"/>
        </w:rPr>
        <w:t>.住房保障（类）住房改革支出（款）住房公积金（项）：指</w:t>
      </w:r>
      <w:r>
        <w:rPr>
          <w:rFonts w:hint="eastAsia" w:ascii="仿宋_GB2312" w:eastAsia="仿宋_GB2312"/>
          <w:sz w:val="32"/>
          <w:szCs w:val="32"/>
        </w:rPr>
        <w:t>反映行政事业单位按人力资源和社会保障部、财政部规定的基本工资和津贴补贴以及规定比例为职工缴纳的住房公积金。</w:t>
      </w:r>
    </w:p>
    <w:p w14:paraId="244A7826">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2</w:t>
      </w:r>
      <w:r>
        <w:rPr>
          <w:rFonts w:hint="eastAsia" w:eastAsia="仿宋_GB2312" w:cs="仿宋_GB2312"/>
          <w:sz w:val="32"/>
          <w:szCs w:val="32"/>
        </w:rPr>
        <w:t>.基本支出：指为保障机构正常运转、完成日常工作任务而发生的人员支出和公用支出。</w:t>
      </w:r>
    </w:p>
    <w:p w14:paraId="57EFFD34">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3</w:t>
      </w:r>
      <w:r>
        <w:rPr>
          <w:rFonts w:hint="eastAsia" w:eastAsia="仿宋_GB2312" w:cs="仿宋_GB2312"/>
          <w:sz w:val="32"/>
          <w:szCs w:val="32"/>
        </w:rPr>
        <w:t xml:space="preserve">.项目支出：指在基本支出之外为完成特定行政任务和事业发展目标所发生的支出。 </w:t>
      </w:r>
    </w:p>
    <w:p w14:paraId="2CD1A4F5">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4</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B22885">
      <w:pPr>
        <w:spacing w:line="600" w:lineRule="exact"/>
        <w:jc w:val="center"/>
        <w:rPr>
          <w:rStyle w:val="29"/>
          <w:rFonts w:eastAsia="黑体"/>
          <w:b w:val="0"/>
        </w:rPr>
      </w:pPr>
      <w:bookmarkStart w:id="47" w:name="_Toc15377226"/>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2AC91DCE">
      <w:pPr>
        <w:spacing w:line="572" w:lineRule="exact"/>
        <w:jc w:val="left"/>
        <w:outlineLvl w:val="0"/>
        <w:rPr>
          <w:rFonts w:eastAsia="黑体" w:cs="黑体"/>
          <w:color w:val="FF0000"/>
          <w:sz w:val="32"/>
          <w:szCs w:val="32"/>
        </w:rPr>
      </w:pPr>
    </w:p>
    <w:p w14:paraId="0089371E">
      <w:pPr>
        <w:spacing w:line="600" w:lineRule="exact"/>
        <w:jc w:val="center"/>
        <w:outlineLvl w:val="0"/>
        <w:rPr>
          <w:rFonts w:hint="eastAsia" w:ascii="黑体" w:hAnsi="黑体" w:eastAsia="黑体"/>
          <w:color w:val="FF0000"/>
          <w:sz w:val="44"/>
          <w:szCs w:val="44"/>
        </w:rPr>
      </w:pPr>
      <w:r>
        <w:rPr>
          <w:rFonts w:hint="eastAsia"/>
          <w:sz w:val="32"/>
          <w:szCs w:val="32"/>
        </w:rPr>
        <w:t>部门预算项目支出绩效自评表（2024年度）</w:t>
      </w:r>
    </w:p>
    <w:p w14:paraId="2B1424C2">
      <w:pPr>
        <w:pStyle w:val="2"/>
        <w:spacing w:line="560" w:lineRule="exact"/>
        <w:ind w:left="0" w:leftChars="0" w:firstLine="640"/>
        <w:rPr>
          <w:sz w:val="32"/>
        </w:rPr>
      </w:pPr>
    </w:p>
    <w:p w14:paraId="3ED2FC6C">
      <w:pPr>
        <w:pStyle w:val="2"/>
        <w:spacing w:line="560" w:lineRule="exact"/>
        <w:ind w:left="0" w:leftChars="0" w:firstLine="640"/>
        <w:rPr>
          <w:rFonts w:ascii="Times New Roman" w:cs="宋体"/>
          <w:color w:val="FF0000"/>
          <w:sz w:val="32"/>
          <w:highlight w:val="yellow"/>
          <w:shd w:val="clear" w:color="auto" w:fill="FFFFFF"/>
          <w:lang w:val="zh-CN"/>
        </w:rPr>
      </w:pPr>
      <w:r>
        <w:rPr>
          <w:rFonts w:hint="eastAsia" w:hAnsi="Calibri" w:eastAsia="仿宋_GB2312" w:cs="仿宋"/>
          <w:sz w:val="32"/>
        </w:rPr>
        <w:t>（注：按照绩效自评工作安排，各单位可在预算管理一体化系统—综合报表查询—预算绩效报表模块中下载本单位“部门预算项目支出绩效自评表（2024年度）”，该表格应作为附件予以公开。）</w:t>
      </w:r>
    </w:p>
    <w:p w14:paraId="3F2A8753">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D965344">
      <w:pPr>
        <w:widowControl/>
        <w:jc w:val="center"/>
        <w:rPr>
          <w:rFonts w:eastAsia="仿宋"/>
        </w:rPr>
      </w:pPr>
      <w:bookmarkStart w:id="49" w:name="_Toc15396618"/>
      <w:r>
        <w:rPr>
          <w:rFonts w:hint="eastAsia" w:eastAsia="黑体"/>
          <w:sz w:val="44"/>
          <w:szCs w:val="44"/>
        </w:rPr>
        <w:t>第</w:t>
      </w:r>
      <w:r>
        <w:rPr>
          <w:rStyle w:val="29"/>
          <w:rFonts w:hint="eastAsia" w:eastAsia="黑体"/>
          <w:b w:val="0"/>
        </w:rPr>
        <w:t>五部分 附表</w:t>
      </w:r>
      <w:bookmarkEnd w:id="47"/>
      <w:bookmarkEnd w:id="49"/>
      <w:bookmarkStart w:id="50" w:name="_Toc15396619"/>
    </w:p>
    <w:p w14:paraId="6B0548EB">
      <w:pPr>
        <w:pStyle w:val="15"/>
        <w:adjustRightInd w:val="0"/>
        <w:snapToGrid w:val="0"/>
        <w:spacing w:line="560" w:lineRule="exact"/>
        <w:jc w:val="left"/>
        <w:rPr>
          <w:rFonts w:eastAsia="仿宋_GB2312" w:cs="仿宋_GB2312"/>
          <w:sz w:val="32"/>
          <w:szCs w:val="32"/>
        </w:rPr>
      </w:pPr>
    </w:p>
    <w:p w14:paraId="44CB4AD1">
      <w:pPr>
        <w:pStyle w:val="15"/>
        <w:adjustRightInd w:val="0"/>
        <w:snapToGrid w:val="0"/>
        <w:spacing w:line="480" w:lineRule="auto"/>
        <w:jc w:val="left"/>
        <w:rPr>
          <w:rFonts w:eastAsia="仿宋_GB2312" w:cs="仿宋_GB2312"/>
          <w:sz w:val="32"/>
          <w:szCs w:val="32"/>
        </w:rPr>
      </w:pPr>
      <w:r>
        <w:rPr>
          <w:rFonts w:hint="eastAsia" w:eastAsia="仿宋_GB2312" w:cs="仿宋_GB2312"/>
          <w:sz w:val="32"/>
          <w:szCs w:val="32"/>
        </w:rPr>
        <w:t>一、收入支出决算总表</w:t>
      </w:r>
      <w:bookmarkEnd w:id="50"/>
    </w:p>
    <w:p w14:paraId="4602200C">
      <w:pPr>
        <w:pStyle w:val="15"/>
        <w:adjustRightInd w:val="0"/>
        <w:snapToGrid w:val="0"/>
        <w:spacing w:line="480" w:lineRule="auto"/>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5A944A51">
      <w:pPr>
        <w:pStyle w:val="15"/>
        <w:adjustRightInd w:val="0"/>
        <w:snapToGrid w:val="0"/>
        <w:spacing w:line="480" w:lineRule="auto"/>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05F3FD17">
      <w:pPr>
        <w:pStyle w:val="15"/>
        <w:adjustRightInd w:val="0"/>
        <w:snapToGrid w:val="0"/>
        <w:spacing w:line="480" w:lineRule="auto"/>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7C4111E6">
      <w:pPr>
        <w:pStyle w:val="15"/>
        <w:adjustRightInd w:val="0"/>
        <w:snapToGrid w:val="0"/>
        <w:spacing w:line="480" w:lineRule="auto"/>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6758ADBF">
      <w:pPr>
        <w:pStyle w:val="15"/>
        <w:adjustRightInd w:val="0"/>
        <w:snapToGrid w:val="0"/>
        <w:spacing w:line="480" w:lineRule="auto"/>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500E68B4">
      <w:pPr>
        <w:pStyle w:val="15"/>
        <w:adjustRightInd w:val="0"/>
        <w:snapToGrid w:val="0"/>
        <w:spacing w:line="480" w:lineRule="auto"/>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53D3A5F2">
      <w:pPr>
        <w:pStyle w:val="15"/>
        <w:adjustRightInd w:val="0"/>
        <w:snapToGrid w:val="0"/>
        <w:spacing w:line="480" w:lineRule="auto"/>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7992059C">
      <w:pPr>
        <w:pStyle w:val="15"/>
        <w:adjustRightInd w:val="0"/>
        <w:snapToGrid w:val="0"/>
        <w:spacing w:line="480" w:lineRule="auto"/>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71EE238F">
      <w:pPr>
        <w:pStyle w:val="15"/>
        <w:adjustRightInd w:val="0"/>
        <w:snapToGrid w:val="0"/>
        <w:spacing w:line="480" w:lineRule="auto"/>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57D728BF">
      <w:pPr>
        <w:pStyle w:val="15"/>
        <w:adjustRightInd w:val="0"/>
        <w:snapToGrid w:val="0"/>
        <w:spacing w:line="480" w:lineRule="auto"/>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744314B4">
      <w:pPr>
        <w:pStyle w:val="15"/>
        <w:adjustRightInd w:val="0"/>
        <w:snapToGrid w:val="0"/>
        <w:spacing w:line="480" w:lineRule="auto"/>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4C7E3E1E">
      <w:pPr>
        <w:pStyle w:val="15"/>
        <w:adjustRightInd w:val="0"/>
        <w:snapToGrid w:val="0"/>
        <w:spacing w:line="480" w:lineRule="auto"/>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2221E123"/>
    <w:sectPr>
      <w:footerReference r:id="rId11" w:type="first"/>
      <w:footerReference r:id="rId10"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F3F7">
    <w:pPr>
      <w:pStyle w:val="11"/>
      <w:jc w:val="center"/>
    </w:pPr>
  </w:p>
  <w:p w14:paraId="26C7238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D7F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20BB">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BC53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34BC53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A385F8D">
    <w:pPr>
      <w:pStyle w:val="11"/>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3059">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3798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A137980">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88D3">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72E3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A72E3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455055C">
    <w:pPr>
      <w:pStyle w:val="11"/>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37E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5219F">
                          <w:pPr>
                            <w:pStyle w:val="11"/>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PAGE  \* MERGEFORMAT </w:instrText>
                          </w:r>
                          <w:r>
                            <w:rPr>
                              <w:rFonts w:hint="eastAsia" w:ascii="宋体" w:hAnsi="宋体" w:cs="宋体"/>
                              <w:sz w:val="15"/>
                              <w:szCs w:val="15"/>
                            </w:rPr>
                            <w:fldChar w:fldCharType="separate"/>
                          </w:r>
                          <w:r>
                            <w:rPr>
                              <w:rFonts w:hint="eastAsia" w:ascii="宋体" w:hAnsi="宋体" w:cs="宋体"/>
                              <w:sz w:val="15"/>
                              <w:szCs w:val="15"/>
                            </w:rPr>
                            <w:t>- 1 -</w:t>
                          </w:r>
                          <w:r>
                            <w:rPr>
                              <w:rFonts w:hint="eastAsia" w:ascii="宋体" w:hAnsi="宋体" w:cs="宋体"/>
                              <w:sz w:val="15"/>
                              <w:szCs w:val="1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745219F">
                    <w:pPr>
                      <w:pStyle w:val="11"/>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PAGE  \* MERGEFORMAT </w:instrText>
                    </w:r>
                    <w:r>
                      <w:rPr>
                        <w:rFonts w:hint="eastAsia" w:ascii="宋体" w:hAnsi="宋体" w:cs="宋体"/>
                        <w:sz w:val="15"/>
                        <w:szCs w:val="15"/>
                      </w:rPr>
                      <w:fldChar w:fldCharType="separate"/>
                    </w:r>
                    <w:r>
                      <w:rPr>
                        <w:rFonts w:hint="eastAsia" w:ascii="宋体" w:hAnsi="宋体" w:cs="宋体"/>
                        <w:sz w:val="15"/>
                        <w:szCs w:val="15"/>
                      </w:rPr>
                      <w:t>- 1 -</w:t>
                    </w:r>
                    <w:r>
                      <w:rPr>
                        <w:rFonts w:hint="eastAsia" w:ascii="宋体" w:hAnsi="宋体" w:cs="宋体"/>
                        <w:sz w:val="15"/>
                        <w:szCs w:val="1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C1A1">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121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4309">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0EE17"/>
    <w:multiLevelType w:val="singleLevel"/>
    <w:tmpl w:val="C4A0EE17"/>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2608"/>
    <w:rsid w:val="0002549F"/>
    <w:rsid w:val="000468DB"/>
    <w:rsid w:val="0006487A"/>
    <w:rsid w:val="00065F8F"/>
    <w:rsid w:val="00070A43"/>
    <w:rsid w:val="00072B25"/>
    <w:rsid w:val="000768F2"/>
    <w:rsid w:val="000830E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61"/>
    <w:rsid w:val="00114E9B"/>
    <w:rsid w:val="00117149"/>
    <w:rsid w:val="00142216"/>
    <w:rsid w:val="00144D6A"/>
    <w:rsid w:val="0014729F"/>
    <w:rsid w:val="00157BAB"/>
    <w:rsid w:val="001654D1"/>
    <w:rsid w:val="00174518"/>
    <w:rsid w:val="0018106D"/>
    <w:rsid w:val="001877A7"/>
    <w:rsid w:val="00191536"/>
    <w:rsid w:val="00196687"/>
    <w:rsid w:val="001C0962"/>
    <w:rsid w:val="001D7531"/>
    <w:rsid w:val="001E095B"/>
    <w:rsid w:val="001E737D"/>
    <w:rsid w:val="001F0592"/>
    <w:rsid w:val="001F7506"/>
    <w:rsid w:val="002006CD"/>
    <w:rsid w:val="00202B36"/>
    <w:rsid w:val="00204B7A"/>
    <w:rsid w:val="00204CDE"/>
    <w:rsid w:val="00205B82"/>
    <w:rsid w:val="0021101A"/>
    <w:rsid w:val="00220536"/>
    <w:rsid w:val="00235629"/>
    <w:rsid w:val="0024774C"/>
    <w:rsid w:val="00260C38"/>
    <w:rsid w:val="002616C0"/>
    <w:rsid w:val="00265372"/>
    <w:rsid w:val="002662AA"/>
    <w:rsid w:val="00280496"/>
    <w:rsid w:val="00294DC9"/>
    <w:rsid w:val="00295495"/>
    <w:rsid w:val="002A31DE"/>
    <w:rsid w:val="002B2613"/>
    <w:rsid w:val="002D59EB"/>
    <w:rsid w:val="002D6D05"/>
    <w:rsid w:val="002F1818"/>
    <w:rsid w:val="002F2825"/>
    <w:rsid w:val="002F567B"/>
    <w:rsid w:val="003216A9"/>
    <w:rsid w:val="00325818"/>
    <w:rsid w:val="0032664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139D"/>
    <w:rsid w:val="00505A47"/>
    <w:rsid w:val="00512FDA"/>
    <w:rsid w:val="00520DA0"/>
    <w:rsid w:val="0052661A"/>
    <w:rsid w:val="005664BB"/>
    <w:rsid w:val="00566FFA"/>
    <w:rsid w:val="0057481D"/>
    <w:rsid w:val="0058486E"/>
    <w:rsid w:val="00585B33"/>
    <w:rsid w:val="0059014D"/>
    <w:rsid w:val="00592418"/>
    <w:rsid w:val="005B5C64"/>
    <w:rsid w:val="005C5337"/>
    <w:rsid w:val="005C6BD0"/>
    <w:rsid w:val="005D1C8B"/>
    <w:rsid w:val="005D468D"/>
    <w:rsid w:val="005D5CED"/>
    <w:rsid w:val="005F1A4C"/>
    <w:rsid w:val="005F7232"/>
    <w:rsid w:val="00605688"/>
    <w:rsid w:val="006070AF"/>
    <w:rsid w:val="00607E6C"/>
    <w:rsid w:val="006101B1"/>
    <w:rsid w:val="00614E44"/>
    <w:rsid w:val="0062270A"/>
    <w:rsid w:val="00622830"/>
    <w:rsid w:val="00623DA0"/>
    <w:rsid w:val="00630AEF"/>
    <w:rsid w:val="006325F8"/>
    <w:rsid w:val="00633463"/>
    <w:rsid w:val="006345DA"/>
    <w:rsid w:val="00634C9A"/>
    <w:rsid w:val="006440E4"/>
    <w:rsid w:val="0066343B"/>
    <w:rsid w:val="00664777"/>
    <w:rsid w:val="006748A4"/>
    <w:rsid w:val="00681A31"/>
    <w:rsid w:val="00683E73"/>
    <w:rsid w:val="006A3141"/>
    <w:rsid w:val="006A5E34"/>
    <w:rsid w:val="006B2422"/>
    <w:rsid w:val="006B2B9A"/>
    <w:rsid w:val="006B4214"/>
    <w:rsid w:val="006C1937"/>
    <w:rsid w:val="006F020C"/>
    <w:rsid w:val="007127B7"/>
    <w:rsid w:val="0071798E"/>
    <w:rsid w:val="00721FD8"/>
    <w:rsid w:val="007416B6"/>
    <w:rsid w:val="00746F48"/>
    <w:rsid w:val="0075404D"/>
    <w:rsid w:val="0076182A"/>
    <w:rsid w:val="00767B7E"/>
    <w:rsid w:val="007770C3"/>
    <w:rsid w:val="00784D24"/>
    <w:rsid w:val="00785FBA"/>
    <w:rsid w:val="00786E4A"/>
    <w:rsid w:val="007875EB"/>
    <w:rsid w:val="0079426B"/>
    <w:rsid w:val="007B7D5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D18"/>
    <w:rsid w:val="00871F71"/>
    <w:rsid w:val="00872FD8"/>
    <w:rsid w:val="008758C8"/>
    <w:rsid w:val="00885AF4"/>
    <w:rsid w:val="008939CD"/>
    <w:rsid w:val="008B3CC2"/>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A3"/>
    <w:rsid w:val="0097099F"/>
    <w:rsid w:val="00971997"/>
    <w:rsid w:val="00971FFC"/>
    <w:rsid w:val="0098660A"/>
    <w:rsid w:val="009931C3"/>
    <w:rsid w:val="009B2C43"/>
    <w:rsid w:val="009B4EAE"/>
    <w:rsid w:val="009B7573"/>
    <w:rsid w:val="009C22F4"/>
    <w:rsid w:val="009C2A4B"/>
    <w:rsid w:val="009C2E98"/>
    <w:rsid w:val="009C70F9"/>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3FC0"/>
    <w:rsid w:val="00A91760"/>
    <w:rsid w:val="00A93B00"/>
    <w:rsid w:val="00A93C21"/>
    <w:rsid w:val="00A960C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2565"/>
    <w:rsid w:val="00B35F3F"/>
    <w:rsid w:val="00B36CBB"/>
    <w:rsid w:val="00B425E0"/>
    <w:rsid w:val="00B440AA"/>
    <w:rsid w:val="00B44B70"/>
    <w:rsid w:val="00B52690"/>
    <w:rsid w:val="00B53C56"/>
    <w:rsid w:val="00B57DAF"/>
    <w:rsid w:val="00B77EA6"/>
    <w:rsid w:val="00B81598"/>
    <w:rsid w:val="00B841F1"/>
    <w:rsid w:val="00B944D6"/>
    <w:rsid w:val="00BB270F"/>
    <w:rsid w:val="00BB4DF0"/>
    <w:rsid w:val="00BC289F"/>
    <w:rsid w:val="00BC2D50"/>
    <w:rsid w:val="00BC5361"/>
    <w:rsid w:val="00BC5460"/>
    <w:rsid w:val="00BC6B50"/>
    <w:rsid w:val="00BD0E25"/>
    <w:rsid w:val="00BE1806"/>
    <w:rsid w:val="00BF5BD6"/>
    <w:rsid w:val="00C03E31"/>
    <w:rsid w:val="00C33E72"/>
    <w:rsid w:val="00C354B2"/>
    <w:rsid w:val="00C35554"/>
    <w:rsid w:val="00C42709"/>
    <w:rsid w:val="00C533CC"/>
    <w:rsid w:val="00C5751C"/>
    <w:rsid w:val="00C61BFC"/>
    <w:rsid w:val="00C62B85"/>
    <w:rsid w:val="00C65438"/>
    <w:rsid w:val="00C755F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0D58"/>
    <w:rsid w:val="00DA634F"/>
    <w:rsid w:val="00DA65AC"/>
    <w:rsid w:val="00DB1913"/>
    <w:rsid w:val="00DB42A2"/>
    <w:rsid w:val="00DC410D"/>
    <w:rsid w:val="00DC5A81"/>
    <w:rsid w:val="00DC68CA"/>
    <w:rsid w:val="00DC7CBA"/>
    <w:rsid w:val="00DD73B7"/>
    <w:rsid w:val="00DE4B6D"/>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91B60"/>
    <w:rsid w:val="00EA010F"/>
    <w:rsid w:val="00EB164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D2A"/>
    <w:rsid w:val="00F602DF"/>
    <w:rsid w:val="00F754A1"/>
    <w:rsid w:val="00F81FD9"/>
    <w:rsid w:val="00F841AA"/>
    <w:rsid w:val="00F84A94"/>
    <w:rsid w:val="00F87E96"/>
    <w:rsid w:val="00FA23E8"/>
    <w:rsid w:val="00FD3CC1"/>
    <w:rsid w:val="00FF1E02"/>
    <w:rsid w:val="00FF30B4"/>
    <w:rsid w:val="012A5EC2"/>
    <w:rsid w:val="015975B8"/>
    <w:rsid w:val="01EC0E0C"/>
    <w:rsid w:val="02105DD0"/>
    <w:rsid w:val="025D6B3C"/>
    <w:rsid w:val="02954528"/>
    <w:rsid w:val="02D5125F"/>
    <w:rsid w:val="02FEBE30"/>
    <w:rsid w:val="037405E1"/>
    <w:rsid w:val="038B1487"/>
    <w:rsid w:val="03B31109"/>
    <w:rsid w:val="03C926DB"/>
    <w:rsid w:val="04916F1E"/>
    <w:rsid w:val="04FF2195"/>
    <w:rsid w:val="05014E32"/>
    <w:rsid w:val="05290F57"/>
    <w:rsid w:val="05917228"/>
    <w:rsid w:val="05D406A3"/>
    <w:rsid w:val="05D723CA"/>
    <w:rsid w:val="06100EEB"/>
    <w:rsid w:val="061E35DE"/>
    <w:rsid w:val="066E0107"/>
    <w:rsid w:val="06CE4859"/>
    <w:rsid w:val="07541F13"/>
    <w:rsid w:val="07996F6E"/>
    <w:rsid w:val="07DFD8BA"/>
    <w:rsid w:val="08ED7A67"/>
    <w:rsid w:val="090815BF"/>
    <w:rsid w:val="09216B15"/>
    <w:rsid w:val="09867E8F"/>
    <w:rsid w:val="09A22421"/>
    <w:rsid w:val="0A2032A3"/>
    <w:rsid w:val="0AA90B70"/>
    <w:rsid w:val="0B1F0E32"/>
    <w:rsid w:val="0C61547A"/>
    <w:rsid w:val="0CA8290A"/>
    <w:rsid w:val="0D35B1ED"/>
    <w:rsid w:val="0D9F26FE"/>
    <w:rsid w:val="0DC363ED"/>
    <w:rsid w:val="0E254B6B"/>
    <w:rsid w:val="0E9D4E90"/>
    <w:rsid w:val="0EAA135B"/>
    <w:rsid w:val="0F4F0210"/>
    <w:rsid w:val="0F503CB0"/>
    <w:rsid w:val="0F781459"/>
    <w:rsid w:val="0F98263C"/>
    <w:rsid w:val="0FCE28A0"/>
    <w:rsid w:val="0FDA7A1E"/>
    <w:rsid w:val="101860EC"/>
    <w:rsid w:val="101F47CC"/>
    <w:rsid w:val="10330AE4"/>
    <w:rsid w:val="10523A58"/>
    <w:rsid w:val="106B4B1A"/>
    <w:rsid w:val="10975E2D"/>
    <w:rsid w:val="10C055FF"/>
    <w:rsid w:val="10E34671"/>
    <w:rsid w:val="11694EBD"/>
    <w:rsid w:val="11772AA4"/>
    <w:rsid w:val="118107EC"/>
    <w:rsid w:val="11847C41"/>
    <w:rsid w:val="12317FB0"/>
    <w:rsid w:val="12957C2C"/>
    <w:rsid w:val="12E24EE2"/>
    <w:rsid w:val="13D22765"/>
    <w:rsid w:val="13D34EB0"/>
    <w:rsid w:val="13D50BC4"/>
    <w:rsid w:val="14636234"/>
    <w:rsid w:val="14B17F78"/>
    <w:rsid w:val="15085FE9"/>
    <w:rsid w:val="15632263"/>
    <w:rsid w:val="15783F61"/>
    <w:rsid w:val="15966195"/>
    <w:rsid w:val="16247C45"/>
    <w:rsid w:val="165E0673"/>
    <w:rsid w:val="16B831D5"/>
    <w:rsid w:val="16BB723D"/>
    <w:rsid w:val="17104F31"/>
    <w:rsid w:val="177813DE"/>
    <w:rsid w:val="178C5AA1"/>
    <w:rsid w:val="17CA0378"/>
    <w:rsid w:val="17E50567"/>
    <w:rsid w:val="17FB2C27"/>
    <w:rsid w:val="1810194F"/>
    <w:rsid w:val="186504BB"/>
    <w:rsid w:val="19A445FC"/>
    <w:rsid w:val="1A613215"/>
    <w:rsid w:val="1AFC2F3E"/>
    <w:rsid w:val="1B015C2D"/>
    <w:rsid w:val="1BE8440E"/>
    <w:rsid w:val="1C2312C1"/>
    <w:rsid w:val="1C295FB5"/>
    <w:rsid w:val="1C2A5889"/>
    <w:rsid w:val="1C964CCC"/>
    <w:rsid w:val="1D03018C"/>
    <w:rsid w:val="1D155CEE"/>
    <w:rsid w:val="1D1638FE"/>
    <w:rsid w:val="1D666D95"/>
    <w:rsid w:val="1D6D1ED1"/>
    <w:rsid w:val="1E002D45"/>
    <w:rsid w:val="1E236A34"/>
    <w:rsid w:val="1E312DEB"/>
    <w:rsid w:val="1E5D0198"/>
    <w:rsid w:val="1E740ACF"/>
    <w:rsid w:val="1E9B0CC0"/>
    <w:rsid w:val="1E9B4040"/>
    <w:rsid w:val="1ED511E6"/>
    <w:rsid w:val="1F882FF2"/>
    <w:rsid w:val="1FF35744"/>
    <w:rsid w:val="1FF6BC77"/>
    <w:rsid w:val="20CC6A0F"/>
    <w:rsid w:val="210C624D"/>
    <w:rsid w:val="2186353C"/>
    <w:rsid w:val="21BE719F"/>
    <w:rsid w:val="22D16A5E"/>
    <w:rsid w:val="23046E34"/>
    <w:rsid w:val="23054204"/>
    <w:rsid w:val="23515DF1"/>
    <w:rsid w:val="23576C92"/>
    <w:rsid w:val="23860B96"/>
    <w:rsid w:val="24003A9F"/>
    <w:rsid w:val="240371BF"/>
    <w:rsid w:val="244F3473"/>
    <w:rsid w:val="24C97D99"/>
    <w:rsid w:val="24CD76F9"/>
    <w:rsid w:val="24D46CDA"/>
    <w:rsid w:val="25212DE5"/>
    <w:rsid w:val="25861B66"/>
    <w:rsid w:val="25A718F0"/>
    <w:rsid w:val="25BB59F6"/>
    <w:rsid w:val="260F557C"/>
    <w:rsid w:val="26970054"/>
    <w:rsid w:val="26A526DC"/>
    <w:rsid w:val="271556DE"/>
    <w:rsid w:val="27675BE3"/>
    <w:rsid w:val="276802B4"/>
    <w:rsid w:val="281408E2"/>
    <w:rsid w:val="299662ED"/>
    <w:rsid w:val="29E11C7D"/>
    <w:rsid w:val="29FD04D3"/>
    <w:rsid w:val="2ABA7D62"/>
    <w:rsid w:val="2BAD5B8F"/>
    <w:rsid w:val="2BDA4BD6"/>
    <w:rsid w:val="2BFF7BC6"/>
    <w:rsid w:val="2C5C1A8E"/>
    <w:rsid w:val="2C8A61B5"/>
    <w:rsid w:val="2D79524B"/>
    <w:rsid w:val="2DF04E50"/>
    <w:rsid w:val="2E586DFA"/>
    <w:rsid w:val="2F040D46"/>
    <w:rsid w:val="2F6B035B"/>
    <w:rsid w:val="2FAE5751"/>
    <w:rsid w:val="2FB1A395"/>
    <w:rsid w:val="2FCA31B3"/>
    <w:rsid w:val="2FD9A7D8"/>
    <w:rsid w:val="2FDBF714"/>
    <w:rsid w:val="2FF95846"/>
    <w:rsid w:val="302D7D87"/>
    <w:rsid w:val="30647B41"/>
    <w:rsid w:val="30AB6865"/>
    <w:rsid w:val="30CB2D3F"/>
    <w:rsid w:val="31076045"/>
    <w:rsid w:val="31603DCF"/>
    <w:rsid w:val="31697AD8"/>
    <w:rsid w:val="319F7F4E"/>
    <w:rsid w:val="31D24707"/>
    <w:rsid w:val="32100831"/>
    <w:rsid w:val="325D3E6B"/>
    <w:rsid w:val="32881493"/>
    <w:rsid w:val="32BD1EF1"/>
    <w:rsid w:val="3304709D"/>
    <w:rsid w:val="33A773CB"/>
    <w:rsid w:val="33BA7537"/>
    <w:rsid w:val="34043F98"/>
    <w:rsid w:val="342822B8"/>
    <w:rsid w:val="34666754"/>
    <w:rsid w:val="349D6851"/>
    <w:rsid w:val="34D92E2A"/>
    <w:rsid w:val="362A0508"/>
    <w:rsid w:val="365D1C15"/>
    <w:rsid w:val="366F23BE"/>
    <w:rsid w:val="36AA5135"/>
    <w:rsid w:val="36B44275"/>
    <w:rsid w:val="36BE0DA7"/>
    <w:rsid w:val="36DB4DD0"/>
    <w:rsid w:val="375B3D12"/>
    <w:rsid w:val="376B6AA6"/>
    <w:rsid w:val="376D39B2"/>
    <w:rsid w:val="37D24B71"/>
    <w:rsid w:val="37E16F03"/>
    <w:rsid w:val="37F53A3B"/>
    <w:rsid w:val="37F963E3"/>
    <w:rsid w:val="389B6C89"/>
    <w:rsid w:val="38D469F0"/>
    <w:rsid w:val="38FD0520"/>
    <w:rsid w:val="392613A1"/>
    <w:rsid w:val="39627CCD"/>
    <w:rsid w:val="397BAF1F"/>
    <w:rsid w:val="399B691E"/>
    <w:rsid w:val="39CE19B2"/>
    <w:rsid w:val="39EE0EC4"/>
    <w:rsid w:val="3A0B4AF4"/>
    <w:rsid w:val="3A2D5194"/>
    <w:rsid w:val="3A6A181A"/>
    <w:rsid w:val="3AB79AF3"/>
    <w:rsid w:val="3AE834C0"/>
    <w:rsid w:val="3B7EF35A"/>
    <w:rsid w:val="3B9FDB6C"/>
    <w:rsid w:val="3BF5BC2F"/>
    <w:rsid w:val="3C3A6681"/>
    <w:rsid w:val="3CEBA265"/>
    <w:rsid w:val="3D98207C"/>
    <w:rsid w:val="3DEE7CF3"/>
    <w:rsid w:val="3DFA1107"/>
    <w:rsid w:val="3E1573AC"/>
    <w:rsid w:val="3E740A63"/>
    <w:rsid w:val="3E78745D"/>
    <w:rsid w:val="3E8F7AA2"/>
    <w:rsid w:val="3E9A01F4"/>
    <w:rsid w:val="3EE17838"/>
    <w:rsid w:val="3F55381A"/>
    <w:rsid w:val="3F7F7599"/>
    <w:rsid w:val="3FD6525C"/>
    <w:rsid w:val="3FF4CAE0"/>
    <w:rsid w:val="3FF7B227"/>
    <w:rsid w:val="41344930"/>
    <w:rsid w:val="427365C2"/>
    <w:rsid w:val="428B67D2"/>
    <w:rsid w:val="42F36125"/>
    <w:rsid w:val="43016A94"/>
    <w:rsid w:val="431753F1"/>
    <w:rsid w:val="432450BB"/>
    <w:rsid w:val="438612B3"/>
    <w:rsid w:val="43A55671"/>
    <w:rsid w:val="43DA60E0"/>
    <w:rsid w:val="43EC32A0"/>
    <w:rsid w:val="44E268DA"/>
    <w:rsid w:val="450D13D7"/>
    <w:rsid w:val="45506656"/>
    <w:rsid w:val="457E261E"/>
    <w:rsid w:val="46942001"/>
    <w:rsid w:val="471B0F2A"/>
    <w:rsid w:val="47837D49"/>
    <w:rsid w:val="47FC7234"/>
    <w:rsid w:val="486A6C7A"/>
    <w:rsid w:val="492359B6"/>
    <w:rsid w:val="497A75A0"/>
    <w:rsid w:val="49AD34D2"/>
    <w:rsid w:val="49D63663"/>
    <w:rsid w:val="4A195179"/>
    <w:rsid w:val="4A225C6E"/>
    <w:rsid w:val="4A2E5314"/>
    <w:rsid w:val="4A4360E0"/>
    <w:rsid w:val="4A627F82"/>
    <w:rsid w:val="4A6E2C61"/>
    <w:rsid w:val="4AD44D92"/>
    <w:rsid w:val="4ADD03BA"/>
    <w:rsid w:val="4B0E749A"/>
    <w:rsid w:val="4B2477C4"/>
    <w:rsid w:val="4B307F16"/>
    <w:rsid w:val="4B4F25DA"/>
    <w:rsid w:val="4BBF584D"/>
    <w:rsid w:val="4BD92620"/>
    <w:rsid w:val="4BE068DB"/>
    <w:rsid w:val="4C6360CA"/>
    <w:rsid w:val="4C9170DB"/>
    <w:rsid w:val="4D577224"/>
    <w:rsid w:val="4D5F2D35"/>
    <w:rsid w:val="4DBF1CEB"/>
    <w:rsid w:val="4DF0007C"/>
    <w:rsid w:val="4DF571F5"/>
    <w:rsid w:val="4E08517B"/>
    <w:rsid w:val="4E695A46"/>
    <w:rsid w:val="4E7445BE"/>
    <w:rsid w:val="4E9133C2"/>
    <w:rsid w:val="4EAB630A"/>
    <w:rsid w:val="4EB66985"/>
    <w:rsid w:val="4ECE2238"/>
    <w:rsid w:val="4F2E29BF"/>
    <w:rsid w:val="4F833267"/>
    <w:rsid w:val="4FE9BD67"/>
    <w:rsid w:val="4FFB052F"/>
    <w:rsid w:val="50357AEE"/>
    <w:rsid w:val="50811214"/>
    <w:rsid w:val="50CC248F"/>
    <w:rsid w:val="50D062F5"/>
    <w:rsid w:val="51330339"/>
    <w:rsid w:val="519C4284"/>
    <w:rsid w:val="52410C5B"/>
    <w:rsid w:val="525F10E1"/>
    <w:rsid w:val="537E6D0A"/>
    <w:rsid w:val="53DF697E"/>
    <w:rsid w:val="53F74C96"/>
    <w:rsid w:val="547E0A4C"/>
    <w:rsid w:val="55170BA8"/>
    <w:rsid w:val="552000A3"/>
    <w:rsid w:val="553218C9"/>
    <w:rsid w:val="554A7E27"/>
    <w:rsid w:val="55D63329"/>
    <w:rsid w:val="560721BC"/>
    <w:rsid w:val="567E1AA5"/>
    <w:rsid w:val="56C86933"/>
    <w:rsid w:val="56E47B74"/>
    <w:rsid w:val="57175D52"/>
    <w:rsid w:val="572850AA"/>
    <w:rsid w:val="57BD3DD4"/>
    <w:rsid w:val="580E15DF"/>
    <w:rsid w:val="586423C0"/>
    <w:rsid w:val="58AD704A"/>
    <w:rsid w:val="597506E7"/>
    <w:rsid w:val="59ED19F3"/>
    <w:rsid w:val="59FD7B5D"/>
    <w:rsid w:val="5AB126F6"/>
    <w:rsid w:val="5AC73E7E"/>
    <w:rsid w:val="5AF92295"/>
    <w:rsid w:val="5B250254"/>
    <w:rsid w:val="5B2F01EA"/>
    <w:rsid w:val="5B70058B"/>
    <w:rsid w:val="5BDD79E6"/>
    <w:rsid w:val="5BF3746A"/>
    <w:rsid w:val="5BF561CA"/>
    <w:rsid w:val="5BFF5DFC"/>
    <w:rsid w:val="5C1967A5"/>
    <w:rsid w:val="5C1A31D1"/>
    <w:rsid w:val="5CD71FC4"/>
    <w:rsid w:val="5D1F11B5"/>
    <w:rsid w:val="5D695134"/>
    <w:rsid w:val="5D720862"/>
    <w:rsid w:val="5DAE1B18"/>
    <w:rsid w:val="5DE7D9E5"/>
    <w:rsid w:val="5E1068EB"/>
    <w:rsid w:val="5E160396"/>
    <w:rsid w:val="5ECEC941"/>
    <w:rsid w:val="5FBF9FF3"/>
    <w:rsid w:val="5FCD4E2C"/>
    <w:rsid w:val="5FEF394A"/>
    <w:rsid w:val="5FF67715"/>
    <w:rsid w:val="60045234"/>
    <w:rsid w:val="603B4F3C"/>
    <w:rsid w:val="604C0EF7"/>
    <w:rsid w:val="605E0C2A"/>
    <w:rsid w:val="62BF3928"/>
    <w:rsid w:val="630D5931"/>
    <w:rsid w:val="637B686F"/>
    <w:rsid w:val="63B3701E"/>
    <w:rsid w:val="63FC420D"/>
    <w:rsid w:val="647F5392"/>
    <w:rsid w:val="652C5AFB"/>
    <w:rsid w:val="65E10333"/>
    <w:rsid w:val="65E66580"/>
    <w:rsid w:val="662743C2"/>
    <w:rsid w:val="664B1D71"/>
    <w:rsid w:val="664B4E8E"/>
    <w:rsid w:val="666D1BC7"/>
    <w:rsid w:val="668138C4"/>
    <w:rsid w:val="66873FEB"/>
    <w:rsid w:val="66FE6CC3"/>
    <w:rsid w:val="67277B67"/>
    <w:rsid w:val="67AA3209"/>
    <w:rsid w:val="698D0931"/>
    <w:rsid w:val="69A842DD"/>
    <w:rsid w:val="6A022F6E"/>
    <w:rsid w:val="6A7FE5F3"/>
    <w:rsid w:val="6B053271"/>
    <w:rsid w:val="6B99345E"/>
    <w:rsid w:val="6BDD78B3"/>
    <w:rsid w:val="6C423AF6"/>
    <w:rsid w:val="6C4A05C8"/>
    <w:rsid w:val="6C6770B8"/>
    <w:rsid w:val="6C8742B8"/>
    <w:rsid w:val="6D254FA9"/>
    <w:rsid w:val="6DBF5E93"/>
    <w:rsid w:val="6DE76703"/>
    <w:rsid w:val="6DFF077E"/>
    <w:rsid w:val="6E4C769F"/>
    <w:rsid w:val="6E714EF0"/>
    <w:rsid w:val="6E7E3605"/>
    <w:rsid w:val="6E7FDCC7"/>
    <w:rsid w:val="6ED6A62E"/>
    <w:rsid w:val="6EE00B15"/>
    <w:rsid w:val="6F6FB3EB"/>
    <w:rsid w:val="6F702CDC"/>
    <w:rsid w:val="6F7E0646"/>
    <w:rsid w:val="6F8731EA"/>
    <w:rsid w:val="6FAC7C04"/>
    <w:rsid w:val="6FCE6052"/>
    <w:rsid w:val="6FD57C00"/>
    <w:rsid w:val="6FD74555"/>
    <w:rsid w:val="6FEFFFD8"/>
    <w:rsid w:val="6FF5CC65"/>
    <w:rsid w:val="6FFB47EC"/>
    <w:rsid w:val="6FFF034A"/>
    <w:rsid w:val="70484440"/>
    <w:rsid w:val="712A28F1"/>
    <w:rsid w:val="714A6730"/>
    <w:rsid w:val="715C0E4B"/>
    <w:rsid w:val="71992E7C"/>
    <w:rsid w:val="71DE606F"/>
    <w:rsid w:val="72233669"/>
    <w:rsid w:val="72734D90"/>
    <w:rsid w:val="72F01BB6"/>
    <w:rsid w:val="72FB430F"/>
    <w:rsid w:val="73160E6D"/>
    <w:rsid w:val="7332FE48"/>
    <w:rsid w:val="733C6650"/>
    <w:rsid w:val="734463A5"/>
    <w:rsid w:val="73AB61DA"/>
    <w:rsid w:val="73AD73D5"/>
    <w:rsid w:val="73B6EB34"/>
    <w:rsid w:val="73FA497D"/>
    <w:rsid w:val="744731E5"/>
    <w:rsid w:val="74586A1C"/>
    <w:rsid w:val="746C7962"/>
    <w:rsid w:val="74BBD01D"/>
    <w:rsid w:val="74ED5379"/>
    <w:rsid w:val="75581C94"/>
    <w:rsid w:val="75DB548F"/>
    <w:rsid w:val="75DEEEC2"/>
    <w:rsid w:val="75E32345"/>
    <w:rsid w:val="76E3355F"/>
    <w:rsid w:val="76FF5125"/>
    <w:rsid w:val="770E2F52"/>
    <w:rsid w:val="77690189"/>
    <w:rsid w:val="776F6FFA"/>
    <w:rsid w:val="778769C8"/>
    <w:rsid w:val="778F5135"/>
    <w:rsid w:val="77A75DCA"/>
    <w:rsid w:val="77DC22F5"/>
    <w:rsid w:val="77DC4DFE"/>
    <w:rsid w:val="783E271A"/>
    <w:rsid w:val="78616DE9"/>
    <w:rsid w:val="78E875D7"/>
    <w:rsid w:val="79086DAD"/>
    <w:rsid w:val="796C2BD8"/>
    <w:rsid w:val="79780B57"/>
    <w:rsid w:val="79A83226"/>
    <w:rsid w:val="79D7FD79"/>
    <w:rsid w:val="79DA35C0"/>
    <w:rsid w:val="79EE5BA4"/>
    <w:rsid w:val="7A410F49"/>
    <w:rsid w:val="7A894339"/>
    <w:rsid w:val="7AA8546C"/>
    <w:rsid w:val="7ABA52FB"/>
    <w:rsid w:val="7AD284E8"/>
    <w:rsid w:val="7AFF7572"/>
    <w:rsid w:val="7B6C7DFB"/>
    <w:rsid w:val="7BB10350"/>
    <w:rsid w:val="7BBFBED0"/>
    <w:rsid w:val="7BC3E394"/>
    <w:rsid w:val="7BF5023D"/>
    <w:rsid w:val="7C1F3737"/>
    <w:rsid w:val="7CB93960"/>
    <w:rsid w:val="7CBFC87B"/>
    <w:rsid w:val="7CFE0F48"/>
    <w:rsid w:val="7D221505"/>
    <w:rsid w:val="7D272ABC"/>
    <w:rsid w:val="7D7EC23E"/>
    <w:rsid w:val="7DF10ED8"/>
    <w:rsid w:val="7E01111B"/>
    <w:rsid w:val="7E1150D6"/>
    <w:rsid w:val="7E775881"/>
    <w:rsid w:val="7E8ADEBF"/>
    <w:rsid w:val="7E8C3211"/>
    <w:rsid w:val="7E9A50CB"/>
    <w:rsid w:val="7EEF11D3"/>
    <w:rsid w:val="7EFE4840"/>
    <w:rsid w:val="7F0971A6"/>
    <w:rsid w:val="7F1D62E7"/>
    <w:rsid w:val="7F3F679B"/>
    <w:rsid w:val="7F460DAF"/>
    <w:rsid w:val="7F4FC4EF"/>
    <w:rsid w:val="7F5E4D54"/>
    <w:rsid w:val="7F6E0135"/>
    <w:rsid w:val="7F79F205"/>
    <w:rsid w:val="7F831C10"/>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Normal Indent"/>
    <w:basedOn w:val="1"/>
    <w:unhideWhenUsed/>
    <w:qFormat/>
    <w:uiPriority w:val="99"/>
    <w:pPr>
      <w:ind w:firstLine="420" w:firstLineChars="200"/>
    </w:p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4"/>
    <w:qFormat/>
    <w:uiPriority w:val="9"/>
    <w:rPr>
      <w:rFonts w:ascii="Times New Roman" w:hAnsi="Times New Roman"/>
      <w:b/>
      <w:bCs/>
      <w:kern w:val="44"/>
      <w:sz w:val="44"/>
      <w:szCs w:val="44"/>
    </w:rPr>
  </w:style>
  <w:style w:type="character" w:customStyle="1" w:styleId="30">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4&#24180;&#20915;&#31639;&#20844;&#24320;\24&#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24180;&#20915;&#31639;&#20844;&#24320;\24&#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24180;&#20915;&#31639;&#20844;&#24320;\24&#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4&#24180;&#20915;&#31639;&#20844;&#24320;\24&#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4&#24180;&#20915;&#31639;&#20844;&#24320;\24&#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4&#24180;&#20915;&#31639;&#20844;&#24320;\24&#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4&#24180;&#20915;&#31639;&#20844;&#24320;\24&#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9685420447671"/>
          <c:y val="0.032579185520362"/>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'24决算公开图表.xlsx'!$A$5</c:f>
              <c:strCache>
                <c:ptCount val="1"/>
                <c:pt idx="0">
                  <c:v>收支总额变动统计图</c:v>
                </c:pt>
              </c:strCache>
            </c:strRef>
          </c:tx>
          <c:spPr>
            <a:solidFill>
              <a:schemeClr val="accent1"/>
            </a:solidFill>
            <a:ln>
              <a:noFill/>
            </a:ln>
            <a:effectLst/>
          </c:spPr>
          <c:invertIfNegative val="0"/>
          <c:dLbls>
            <c:delete val="1"/>
          </c:dLbls>
          <c:cat>
            <c:strRef>
              <c:f>'24决算公开图表.xlsx'!$B$4:$C$4</c:f>
              <c:strCache>
                <c:ptCount val="2"/>
                <c:pt idx="0">
                  <c:v>2023年</c:v>
                </c:pt>
                <c:pt idx="1">
                  <c:v>2024年</c:v>
                </c:pt>
              </c:strCache>
            </c:strRef>
          </c:cat>
          <c:val>
            <c:numRef>
              <c:f>'24决算公开图表.xlsx'!$B$5:$C$5</c:f>
              <c:numCache>
                <c:formatCode>General</c:formatCode>
                <c:ptCount val="2"/>
                <c:pt idx="0">
                  <c:v>28771.71</c:v>
                </c:pt>
                <c:pt idx="1">
                  <c:v>21661.65</c:v>
                </c:pt>
              </c:numCache>
            </c:numRef>
          </c:val>
        </c:ser>
        <c:dLbls>
          <c:showLegendKey val="0"/>
          <c:showVal val="0"/>
          <c:showCatName val="0"/>
          <c:showSerName val="0"/>
          <c:showPercent val="0"/>
          <c:showBubbleSize val="0"/>
        </c:dLbls>
        <c:gapWidth val="246"/>
        <c:overlap val="-28"/>
        <c:axId val="767624451"/>
        <c:axId val="62102645"/>
      </c:barChart>
      <c:catAx>
        <c:axId val="76762445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02645"/>
        <c:crosses val="autoZero"/>
        <c:auto val="1"/>
        <c:lblAlgn val="ctr"/>
        <c:lblOffset val="100"/>
        <c:noMultiLvlLbl val="0"/>
      </c:catAx>
      <c:valAx>
        <c:axId val="6210264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7624451"/>
        <c:crosses val="autoZero"/>
        <c:crossBetween val="between"/>
      </c:valAx>
      <c:spPr>
        <a:noFill/>
        <a:ln>
          <a:noFill/>
        </a:ln>
        <a:effectLst/>
      </c:spPr>
    </c:plotArea>
    <c:plotVisOnly val="1"/>
    <c:dispBlanksAs val="gap"/>
    <c:showDLblsOverMax val="0"/>
    <c:extLst>
      <c:ext uri="{0b15fc19-7d7d-44ad-8c2d-2c3a37ce22c3}">
        <chartProps xmlns="https://web.wps.cn/et/2018/main" chartId="{b4328655-c042-4ba7-bead-cc506ae48e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939762085548"/>
          <c:y val="0.027258566978193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69509202453988"/>
          <c:y val="0.215453194650817"/>
          <c:w val="0.484539877300613"/>
          <c:h val="0.733469539375929"/>
        </c:manualLayout>
      </c:layout>
      <c:pieChart>
        <c:varyColors val="1"/>
        <c:ser>
          <c:idx val="0"/>
          <c:order val="0"/>
          <c:tx>
            <c:strRef>
              <c:f>'24决算公开图表.xlsx'!$A$29</c:f>
              <c:strCache>
                <c:ptCount val="1"/>
                <c:pt idx="0">
                  <c:v>收入总额结构图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'24决算公开图表.xlsx'!$B$28:$E$28</c:f>
              <c:strCache>
                <c:ptCount val="4"/>
                <c:pt idx="0">
                  <c:v>一般公共预算财政拨款收入</c:v>
                </c:pt>
                <c:pt idx="1">
                  <c:v>政府性基金预算财政拨款收入</c:v>
                </c:pt>
                <c:pt idx="2">
                  <c:v>事业收入</c:v>
                </c:pt>
                <c:pt idx="3">
                  <c:v>其他收入</c:v>
                </c:pt>
              </c:strCache>
            </c:strRef>
          </c:cat>
          <c:val>
            <c:numRef>
              <c:f>'24决算公开图表.xlsx'!$B$29:$E$29</c:f>
              <c:numCache>
                <c:formatCode>General</c:formatCode>
                <c:ptCount val="4"/>
                <c:pt idx="0">
                  <c:v>10796.41</c:v>
                </c:pt>
                <c:pt idx="1">
                  <c:v>6800</c:v>
                </c:pt>
                <c:pt idx="2">
                  <c:v>3618.49</c:v>
                </c:pt>
                <c:pt idx="3">
                  <c:v>251.67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27636888334295"/>
          <c:y val="0.1178158587427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190973-7043-4466-a303-f639db73b7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'24决算公开图表.xlsx'!$A$42</c:f>
              <c:strCache>
                <c:ptCount val="1"/>
                <c:pt idx="0">
                  <c:v>支出总额结构图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'24决算公开图表.xlsx'!$B$41:$C$41</c:f>
              <c:strCache>
                <c:ptCount val="2"/>
                <c:pt idx="0">
                  <c:v>基本支出</c:v>
                </c:pt>
                <c:pt idx="1">
                  <c:v>项目支出</c:v>
                </c:pt>
              </c:strCache>
            </c:strRef>
          </c:cat>
          <c:val>
            <c:numRef>
              <c:f>'24决算公开图表.xlsx'!$B$42:$C$42</c:f>
              <c:numCache>
                <c:formatCode>General</c:formatCode>
                <c:ptCount val="2"/>
                <c:pt idx="0">
                  <c:v>9448.33</c:v>
                </c:pt>
                <c:pt idx="1">
                  <c:v>12033.65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033432-398b-4348-8351-b2c860dcd2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'24决算公开图表.xlsx'!$A$67</c:f>
              <c:strCache>
                <c:ptCount val="1"/>
                <c:pt idx="0">
                  <c:v>财政拨款收支总额变动图</c:v>
                </c:pt>
              </c:strCache>
            </c:strRef>
          </c:tx>
          <c:spPr>
            <a:solidFill>
              <a:schemeClr val="accent1"/>
            </a:solidFill>
            <a:ln>
              <a:noFill/>
            </a:ln>
            <a:effectLst/>
          </c:spPr>
          <c:invertIfNegative val="0"/>
          <c:dLbls>
            <c:delete val="1"/>
          </c:dLbls>
          <c:cat>
            <c:strRef>
              <c:f>'24决算公开图表.xlsx'!$B$66:$C$66</c:f>
              <c:strCache>
                <c:ptCount val="2"/>
                <c:pt idx="0">
                  <c:v>2023年</c:v>
                </c:pt>
                <c:pt idx="1">
                  <c:v>2024年</c:v>
                </c:pt>
              </c:strCache>
            </c:strRef>
          </c:cat>
          <c:val>
            <c:numRef>
              <c:f>'24决算公开图表.xlsx'!$B$67:$C$67</c:f>
              <c:numCache>
                <c:formatCode>General</c:formatCode>
                <c:ptCount val="2"/>
                <c:pt idx="0">
                  <c:v>25321.36</c:v>
                </c:pt>
                <c:pt idx="1">
                  <c:v>17596.41</c:v>
                </c:pt>
              </c:numCache>
            </c:numRef>
          </c:val>
        </c:ser>
        <c:dLbls>
          <c:showLegendKey val="0"/>
          <c:showVal val="0"/>
          <c:showCatName val="0"/>
          <c:showSerName val="0"/>
          <c:showPercent val="0"/>
          <c:showBubbleSize val="0"/>
        </c:dLbls>
        <c:gapWidth val="246"/>
        <c:overlap val="-28"/>
        <c:axId val="123183931"/>
        <c:axId val="649716437"/>
      </c:barChart>
      <c:catAx>
        <c:axId val="12318393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716437"/>
        <c:crosses val="autoZero"/>
        <c:auto val="1"/>
        <c:lblAlgn val="ctr"/>
        <c:lblOffset val="100"/>
        <c:noMultiLvlLbl val="0"/>
      </c:catAx>
      <c:valAx>
        <c:axId val="64971643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183931"/>
        <c:crosses val="autoZero"/>
        <c:crossBetween val="between"/>
      </c:valAx>
      <c:spPr>
        <a:noFill/>
        <a:ln>
          <a:noFill/>
        </a:ln>
        <a:effectLst/>
      </c:spPr>
    </c:plotArea>
    <c:plotVisOnly val="1"/>
    <c:dispBlanksAs val="gap"/>
    <c:showDLblsOverMax val="0"/>
    <c:extLst>
      <c:ext uri="{0b15fc19-7d7d-44ad-8c2d-2c3a37ce22c3}">
        <chartProps xmlns="https://web.wps.cn/et/2018/main" chartId="{4308c6cc-7504-4426-a422-976cf5e8231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'24决算公开图表.xlsx'!$A$86</c:f>
              <c:strCache>
                <c:ptCount val="1"/>
                <c:pt idx="0">
                  <c:v>一般公共预算财政拨款支出总额变动图</c:v>
                </c:pt>
              </c:strCache>
            </c:strRef>
          </c:tx>
          <c:spPr>
            <a:solidFill>
              <a:schemeClr val="accent1"/>
            </a:solidFill>
            <a:ln>
              <a:noFill/>
            </a:ln>
            <a:effectLst/>
          </c:spPr>
          <c:invertIfNegative val="0"/>
          <c:dLbls>
            <c:delete val="1"/>
          </c:dLbls>
          <c:cat>
            <c:strRef>
              <c:f>'24决算公开图表.xlsx'!$B$85:$C$85</c:f>
              <c:strCache>
                <c:ptCount val="2"/>
                <c:pt idx="0">
                  <c:v>2023年</c:v>
                </c:pt>
                <c:pt idx="1">
                  <c:v>2024年</c:v>
                </c:pt>
              </c:strCache>
            </c:strRef>
          </c:cat>
          <c:val>
            <c:numRef>
              <c:f>'24决算公开图表.xlsx'!$B$86:$C$86</c:f>
              <c:numCache>
                <c:formatCode>General</c:formatCode>
                <c:ptCount val="2"/>
                <c:pt idx="0">
                  <c:v>12721.36</c:v>
                </c:pt>
                <c:pt idx="1">
                  <c:v>10796.41</c:v>
                </c:pt>
              </c:numCache>
            </c:numRef>
          </c:val>
        </c:ser>
        <c:dLbls>
          <c:showLegendKey val="0"/>
          <c:showVal val="0"/>
          <c:showCatName val="0"/>
          <c:showSerName val="0"/>
          <c:showPercent val="0"/>
          <c:showBubbleSize val="0"/>
        </c:dLbls>
        <c:gapWidth val="246"/>
        <c:overlap val="-28"/>
        <c:axId val="807040553"/>
        <c:axId val="85781196"/>
      </c:barChart>
      <c:catAx>
        <c:axId val="80704055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81196"/>
        <c:crosses val="autoZero"/>
        <c:auto val="1"/>
        <c:lblAlgn val="ctr"/>
        <c:lblOffset val="100"/>
        <c:noMultiLvlLbl val="0"/>
      </c:catAx>
      <c:valAx>
        <c:axId val="857811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0553"/>
        <c:crosses val="autoZero"/>
        <c:crossBetween val="between"/>
      </c:valAx>
      <c:spPr>
        <a:noFill/>
        <a:ln>
          <a:noFill/>
        </a:ln>
        <a:effectLst/>
      </c:spPr>
    </c:plotArea>
    <c:plotVisOnly val="1"/>
    <c:dispBlanksAs val="gap"/>
    <c:showDLblsOverMax val="0"/>
    <c:extLst>
      <c:ext uri="{0b15fc19-7d7d-44ad-8c2d-2c3a37ce22c3}">
        <chartProps xmlns="https://web.wps.cn/et/2018/main" chartId="{837c1d95-7986-451a-974e-5964502e51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'24决算公开图表.xlsx'!$A$113</c:f>
              <c:strCache>
                <c:ptCount val="1"/>
                <c:pt idx="0">
                  <c:v>一般公共预算财政拨款支出结构图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'24决算公开图表.xlsx'!$B$112:$G$112</c:f>
              <c:strCache>
                <c:ptCount val="6"/>
                <c:pt idx="0">
                  <c:v>一般公共服务支出</c:v>
                </c:pt>
                <c:pt idx="1">
                  <c:v>教育支出</c:v>
                </c:pt>
                <c:pt idx="2">
                  <c:v>科学技术支出</c:v>
                </c:pt>
                <c:pt idx="3">
                  <c:v>社会保障和就业支出</c:v>
                </c:pt>
                <c:pt idx="4">
                  <c:v>卫生健康支出</c:v>
                </c:pt>
                <c:pt idx="5">
                  <c:v>住房保障支出</c:v>
                </c:pt>
              </c:strCache>
            </c:strRef>
          </c:cat>
          <c:val>
            <c:numRef>
              <c:f>'24决算公开图表.xlsx'!$B$113:$G$113</c:f>
              <c:numCache>
                <c:formatCode>General</c:formatCode>
                <c:ptCount val="6"/>
                <c:pt idx="0">
                  <c:v>29.88</c:v>
                </c:pt>
                <c:pt idx="1">
                  <c:v>7977.26</c:v>
                </c:pt>
                <c:pt idx="2">
                  <c:v>1.29</c:v>
                </c:pt>
                <c:pt idx="3">
                  <c:v>1581.46</c:v>
                </c:pt>
                <c:pt idx="4">
                  <c:v>540.31</c:v>
                </c:pt>
                <c:pt idx="5">
                  <c:v>676.22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0b9d44-1611-4b4d-8f62-cb559fb6e1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'24决算公开图表.xlsx'!$I$115</c:f>
              <c:strCache>
                <c:ptCount val="1"/>
                <c:pt idx="0">
                  <c:v>三公经费财政拨款支出结构表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'24决算公开图表.xlsx'!$J$114:$K$114</c:f>
              <c:strCache>
                <c:ptCount val="2"/>
                <c:pt idx="0">
                  <c:v>公务用车购置及运行维护费</c:v>
                </c:pt>
                <c:pt idx="1">
                  <c:v>公务接待费</c:v>
                </c:pt>
              </c:strCache>
            </c:strRef>
          </c:cat>
          <c:val>
            <c:numRef>
              <c:f>'24决算公开图表.xlsx'!$J$115:$K$115</c:f>
              <c:numCache>
                <c:formatCode>General</c:formatCode>
                <c:ptCount val="2"/>
                <c:pt idx="0">
                  <c:v>33.82</c:v>
                </c:pt>
                <c:pt idx="1">
                  <c:v>5.63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88b3a1-1ef6-42c6-b80a-73e538a9ea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24</Words>
  <Characters>27</Characters>
  <Lines>213</Lines>
  <Paragraphs>153</Paragraphs>
  <TotalTime>2</TotalTime>
  <ScaleCrop>false</ScaleCrop>
  <LinksUpToDate>false</LinksUpToDate>
  <CharactersWithSpaces>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2025-09-12T01:33:00Z</dcterms:created>
  <dc:creator>曹颖</dc:creator>
  <cp:lastModifiedBy>澜</cp:lastModifiedBy>
  <cp:lastPrinted>2025-09-25T01:13:00Z</cp:lastPrinted>
  <dcterms:modified xsi:type="dcterms:W3CDTF">2025-09-30T03:29:15Z</dcterms:modified>
  <dc:title>四川省***</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26B89CC119304F569246C6EDEA83A018_13</vt:lpwstr>
  </property>
  <property fmtid="{D5CDD505-2E9C-101B-9397-08002B2CF9AE}" pid="4" name="KSOTemplateDocerSaveRecord">
    <vt:lpwstr>eyJoZGlkIjoiMWUxOTk1YTNlYzE2N2EyYmZmYjhiZTg1MmY3NGEzOGQiLCJ1c2VySWQiOiI2NDA3ODY4MjQifQ==</vt:lpwstr>
  </property>
</Properties>
</file>