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673A8">
      <w:pPr>
        <w:jc w:val="both"/>
        <w:outlineLvl w:val="0"/>
        <w:rPr>
          <w:rFonts w:hint="eastAsia" w:ascii="仿宋" w:hAnsi="仿宋" w:eastAsia="仿宋" w:cs="仿宋"/>
          <w:b/>
          <w:bCs/>
          <w:kern w:val="44"/>
          <w:sz w:val="28"/>
          <w:szCs w:val="28"/>
          <w:lang w:val="en-US" w:eastAsia="zh-CN"/>
        </w:rPr>
      </w:pPr>
      <w:bookmarkStart w:id="0" w:name="_Toc18611"/>
      <w:r>
        <w:rPr>
          <w:rFonts w:hint="eastAsia" w:ascii="仿宋" w:hAnsi="仿宋" w:eastAsia="仿宋" w:cs="仿宋"/>
          <w:b/>
          <w:bCs/>
          <w:kern w:val="44"/>
          <w:sz w:val="28"/>
          <w:szCs w:val="28"/>
          <w:lang w:val="en-US" w:eastAsia="zh-CN"/>
        </w:rPr>
        <w:t>附件1：</w:t>
      </w:r>
      <w:r>
        <w:rPr>
          <w:rStyle w:val="21"/>
          <w:rFonts w:hint="eastAsia" w:ascii="仿宋" w:hAnsi="仿宋" w:eastAsia="仿宋" w:cs="仿宋"/>
          <w:sz w:val="28"/>
          <w:szCs w:val="28"/>
          <w:lang w:eastAsia="zh-CN"/>
        </w:rPr>
        <w:t>竞标人</w:t>
      </w:r>
      <w:r>
        <w:rPr>
          <w:rStyle w:val="21"/>
          <w:rFonts w:hint="eastAsia" w:ascii="仿宋" w:hAnsi="仿宋" w:eastAsia="仿宋" w:cs="仿宋"/>
          <w:sz w:val="28"/>
          <w:szCs w:val="28"/>
        </w:rPr>
        <w:t>须知</w:t>
      </w:r>
    </w:p>
    <w:p w14:paraId="3080DF1F">
      <w:pPr>
        <w:jc w:val="center"/>
        <w:outlineLvl w:val="0"/>
        <w:rPr>
          <w:rFonts w:hint="eastAsia" w:ascii="仿宋" w:hAnsi="仿宋" w:eastAsia="仿宋" w:cs="仿宋"/>
          <w:sz w:val="30"/>
          <w:szCs w:val="30"/>
        </w:rPr>
      </w:pPr>
      <w:r>
        <w:rPr>
          <w:rFonts w:hint="eastAsia" w:ascii="仿宋" w:hAnsi="仿宋" w:eastAsia="仿宋" w:cs="仿宋"/>
          <w:b/>
          <w:bCs/>
          <w:kern w:val="44"/>
          <w:sz w:val="30"/>
          <w:szCs w:val="30"/>
          <w:lang w:val="zh-CN"/>
        </w:rPr>
        <w:t>第二部分 竞标人须知</w:t>
      </w:r>
      <w:bookmarkEnd w:id="0"/>
    </w:p>
    <w:p w14:paraId="1CA13A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一、常年法律顾问服务采购项目包含以下内容：</w:t>
      </w:r>
    </w:p>
    <w:p w14:paraId="11B8A75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shd w:val="clear" w:color="auto" w:fill="FFFFFF"/>
        </w:rPr>
      </w:pPr>
      <w:r>
        <w:rPr>
          <w:rFonts w:hint="eastAsia" w:ascii="仿宋" w:hAnsi="仿宋" w:eastAsia="仿宋" w:cs="仿宋"/>
          <w:i w:val="0"/>
          <w:iCs w:val="0"/>
          <w:caps w:val="0"/>
          <w:color w:val="000000"/>
          <w:spacing w:val="0"/>
          <w:sz w:val="32"/>
          <w:szCs w:val="32"/>
          <w:shd w:val="clear" w:color="auto" w:fill="FFFFFF"/>
        </w:rPr>
        <w:t>（一）解答法律咨询，提供法律意见，出具法律意见书；</w:t>
      </w:r>
    </w:p>
    <w:p w14:paraId="38A5F00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shd w:val="clear" w:color="auto" w:fill="FFFFFF"/>
        </w:rPr>
      </w:pPr>
      <w:r>
        <w:rPr>
          <w:rFonts w:hint="eastAsia" w:ascii="仿宋" w:hAnsi="仿宋" w:eastAsia="仿宋" w:cs="仿宋"/>
          <w:i w:val="0"/>
          <w:iCs w:val="0"/>
          <w:caps w:val="0"/>
          <w:color w:val="000000"/>
          <w:spacing w:val="0"/>
          <w:sz w:val="32"/>
          <w:szCs w:val="32"/>
          <w:shd w:val="clear" w:color="auto" w:fill="FFFFFF"/>
        </w:rPr>
        <w:t>（二）参与重大决策事项的调查研究、谈判，提出法律意见；</w:t>
      </w:r>
    </w:p>
    <w:p w14:paraId="4401CD5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shd w:val="clear" w:color="auto" w:fill="FFFFFF"/>
        </w:rPr>
      </w:pPr>
      <w:r>
        <w:rPr>
          <w:rFonts w:hint="eastAsia" w:ascii="仿宋" w:hAnsi="仿宋" w:eastAsia="仿宋" w:cs="仿宋"/>
          <w:i w:val="0"/>
          <w:iCs w:val="0"/>
          <w:caps w:val="0"/>
          <w:color w:val="000000"/>
          <w:spacing w:val="0"/>
          <w:sz w:val="32"/>
          <w:szCs w:val="32"/>
          <w:shd w:val="clear" w:color="auto" w:fill="FFFFFF"/>
        </w:rPr>
        <w:t>（三）参与重大项目、重要协议（合同）等的研究论证工作；</w:t>
      </w:r>
    </w:p>
    <w:p w14:paraId="6DE7876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shd w:val="clear" w:color="auto" w:fill="FFFFFF"/>
        </w:rPr>
      </w:pPr>
      <w:r>
        <w:rPr>
          <w:rFonts w:hint="eastAsia" w:ascii="仿宋" w:hAnsi="仿宋" w:eastAsia="仿宋" w:cs="仿宋"/>
          <w:i w:val="0"/>
          <w:iCs w:val="0"/>
          <w:caps w:val="0"/>
          <w:color w:val="000000"/>
          <w:spacing w:val="0"/>
          <w:sz w:val="32"/>
          <w:szCs w:val="32"/>
          <w:shd w:val="clear" w:color="auto" w:fill="FFFFFF"/>
        </w:rPr>
        <w:t>(四)起草、审查、修改协议（合同）、规范性文件，应学校要求出具法律意见书并参与重要协议（合同）的谈判和签订；</w:t>
      </w:r>
    </w:p>
    <w:p w14:paraId="7CC8DD0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(五)就学校在日常工作中的纠纷等有关事项，与第三方进行交涉，出具律师函，维护学校的合法权益；</w:t>
      </w:r>
    </w:p>
    <w:p w14:paraId="3599F7E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shd w:val="clear" w:color="auto" w:fill="FFFFFF"/>
        </w:rPr>
      </w:pPr>
      <w:r>
        <w:rPr>
          <w:rFonts w:hint="eastAsia" w:ascii="仿宋" w:hAnsi="仿宋" w:eastAsia="仿宋" w:cs="仿宋"/>
          <w:i w:val="0"/>
          <w:iCs w:val="0"/>
          <w:caps w:val="0"/>
          <w:color w:val="000000"/>
          <w:spacing w:val="0"/>
          <w:sz w:val="32"/>
          <w:szCs w:val="32"/>
          <w:shd w:val="clear" w:color="auto" w:fill="FFFFFF"/>
        </w:rPr>
        <w:t>（六）接受学校委托，代理诉讼、仲裁、调解案件；</w:t>
      </w:r>
    </w:p>
    <w:p w14:paraId="4451553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shd w:val="clear" w:color="auto" w:fill="FFFFFF"/>
        </w:rPr>
      </w:pPr>
      <w:r>
        <w:rPr>
          <w:rFonts w:hint="eastAsia" w:ascii="仿宋" w:hAnsi="仿宋" w:eastAsia="仿宋" w:cs="仿宋"/>
          <w:i w:val="0"/>
          <w:iCs w:val="0"/>
          <w:caps w:val="0"/>
          <w:color w:val="000000"/>
          <w:spacing w:val="0"/>
          <w:sz w:val="32"/>
          <w:szCs w:val="32"/>
          <w:shd w:val="clear" w:color="auto" w:fill="FFFFFF"/>
        </w:rPr>
        <w:t>（七）依据学校要求，制定法治宣传计划，协助学校开展依法治校和法治宣传教育工作；</w:t>
      </w:r>
    </w:p>
    <w:p w14:paraId="7DEF147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shd w:val="clear" w:color="auto" w:fill="FFFFFF"/>
        </w:rPr>
      </w:pPr>
      <w:r>
        <w:rPr>
          <w:rFonts w:hint="eastAsia" w:ascii="仿宋" w:hAnsi="仿宋" w:eastAsia="仿宋" w:cs="仿宋"/>
          <w:i w:val="0"/>
          <w:iCs w:val="0"/>
          <w:caps w:val="0"/>
          <w:color w:val="000000"/>
          <w:spacing w:val="0"/>
          <w:sz w:val="32"/>
          <w:szCs w:val="32"/>
          <w:shd w:val="clear" w:color="auto" w:fill="FFFFFF"/>
        </w:rPr>
        <w:t>（八）协助学校建立健全各种规章制度；</w:t>
      </w:r>
    </w:p>
    <w:p w14:paraId="0AB677A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shd w:val="clear" w:color="auto" w:fill="FFFFFF"/>
        </w:rPr>
      </w:pPr>
      <w:r>
        <w:rPr>
          <w:rFonts w:hint="eastAsia" w:ascii="仿宋" w:hAnsi="仿宋" w:eastAsia="仿宋" w:cs="仿宋"/>
          <w:i w:val="0"/>
          <w:iCs w:val="0"/>
          <w:caps w:val="0"/>
          <w:color w:val="000000"/>
          <w:spacing w:val="0"/>
          <w:sz w:val="32"/>
          <w:szCs w:val="32"/>
          <w:shd w:val="clear" w:color="auto" w:fill="FFFFFF"/>
        </w:rPr>
        <w:t>（九）学校需要的其他法律服务。</w:t>
      </w:r>
    </w:p>
    <w:p w14:paraId="2E70DF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000000"/>
          <w:spacing w:val="0"/>
          <w:kern w:val="2"/>
          <w:sz w:val="32"/>
          <w:szCs w:val="32"/>
          <w:shd w:val="clear" w:color="auto" w:fill="FFFFFF"/>
          <w:lang w:val="en-US" w:eastAsia="zh-CN" w:bidi="ar-SA"/>
        </w:rPr>
      </w:pPr>
      <w:r>
        <w:rPr>
          <w:rFonts w:hint="eastAsia" w:ascii="仿宋" w:hAnsi="仿宋" w:eastAsia="仿宋" w:cs="仿宋"/>
          <w:i w:val="0"/>
          <w:iCs w:val="0"/>
          <w:caps w:val="0"/>
          <w:color w:val="000000"/>
          <w:spacing w:val="0"/>
          <w:kern w:val="2"/>
          <w:sz w:val="32"/>
          <w:szCs w:val="32"/>
          <w:shd w:val="clear" w:color="auto" w:fill="FFFFFF"/>
          <w:lang w:val="en-US" w:eastAsia="zh-CN" w:bidi="ar-SA"/>
        </w:rPr>
        <w:t>（十）服务年限 3 年。</w:t>
      </w:r>
    </w:p>
    <w:p w14:paraId="5D6E15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zh-CN" w:eastAsia="zh-CN"/>
        </w:rPr>
        <w:t>二、</w:t>
      </w:r>
      <w:r>
        <w:rPr>
          <w:rFonts w:hint="eastAsia" w:ascii="仿宋" w:hAnsi="仿宋" w:eastAsia="仿宋" w:cs="仿宋"/>
          <w:b w:val="0"/>
          <w:bCs/>
          <w:sz w:val="32"/>
          <w:szCs w:val="32"/>
          <w:lang w:val="en-US" w:eastAsia="zh-CN"/>
        </w:rPr>
        <w:t>竞标人</w:t>
      </w:r>
      <w:r>
        <w:rPr>
          <w:rFonts w:hint="eastAsia" w:ascii="仿宋" w:hAnsi="仿宋" w:eastAsia="仿宋" w:cs="仿宋"/>
          <w:b w:val="0"/>
          <w:bCs/>
          <w:sz w:val="32"/>
          <w:szCs w:val="32"/>
          <w:lang w:val="zh-CN" w:eastAsia="zh-CN"/>
        </w:rPr>
        <w:t>资格</w:t>
      </w:r>
      <w:r>
        <w:rPr>
          <w:rFonts w:hint="eastAsia" w:ascii="仿宋" w:hAnsi="仿宋" w:eastAsia="仿宋" w:cs="仿宋"/>
          <w:b w:val="0"/>
          <w:bCs/>
          <w:sz w:val="32"/>
          <w:szCs w:val="32"/>
          <w:lang w:val="en-US" w:eastAsia="zh-CN"/>
        </w:rPr>
        <w:t>证明材料</w:t>
      </w:r>
    </w:p>
    <w:p w14:paraId="4CFDAE5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kern w:val="2"/>
          <w:sz w:val="32"/>
          <w:szCs w:val="32"/>
          <w:shd w:val="clear" w:color="auto" w:fill="FFFFFF"/>
          <w:lang w:val="en-US" w:eastAsia="zh-CN" w:bidi="ar-SA"/>
        </w:rPr>
      </w:pPr>
      <w:r>
        <w:rPr>
          <w:rFonts w:hint="eastAsia" w:ascii="仿宋" w:hAnsi="仿宋" w:eastAsia="仿宋" w:cs="仿宋"/>
          <w:i w:val="0"/>
          <w:iCs w:val="0"/>
          <w:caps w:val="0"/>
          <w:color w:val="000000"/>
          <w:spacing w:val="0"/>
          <w:kern w:val="2"/>
          <w:sz w:val="32"/>
          <w:szCs w:val="32"/>
          <w:shd w:val="clear" w:color="auto" w:fill="FFFFFF"/>
          <w:lang w:val="en-US" w:eastAsia="zh-CN" w:bidi="ar-SA"/>
        </w:rPr>
        <w:t>1、提供营业执照副本复印件（注：①在有效期内；②复印件加盖公章）；组织机构代码证副本复印件（注：①发证机关有年检要求的，应按规定通过年检；②在有效期内；③复印件加盖公章）；税务登记证副本复印件（注：①在有效期内；②复印件加盖公章）；</w:t>
      </w:r>
    </w:p>
    <w:p w14:paraId="07687EF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kern w:val="2"/>
          <w:sz w:val="32"/>
          <w:szCs w:val="32"/>
          <w:shd w:val="clear" w:color="auto" w:fill="FFFFFF"/>
          <w:lang w:val="en-US" w:eastAsia="zh-CN" w:bidi="ar-SA"/>
        </w:rPr>
      </w:pPr>
      <w:r>
        <w:rPr>
          <w:rFonts w:hint="eastAsia" w:ascii="仿宋" w:hAnsi="仿宋" w:eastAsia="仿宋" w:cs="仿宋"/>
          <w:i w:val="0"/>
          <w:iCs w:val="0"/>
          <w:caps w:val="0"/>
          <w:color w:val="000000"/>
          <w:spacing w:val="0"/>
          <w:kern w:val="2"/>
          <w:sz w:val="32"/>
          <w:szCs w:val="32"/>
          <w:shd w:val="clear" w:color="auto" w:fill="FFFFFF"/>
          <w:lang w:val="en-US" w:eastAsia="zh-CN" w:bidi="ar-SA"/>
        </w:rPr>
        <w:t>注：企业若已更换为三证合一的则提供营业执照副本复印件。</w:t>
      </w:r>
    </w:p>
    <w:p w14:paraId="03C87AA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kern w:val="2"/>
          <w:sz w:val="32"/>
          <w:szCs w:val="32"/>
          <w:shd w:val="clear" w:color="auto" w:fill="FFFFFF"/>
          <w:lang w:val="en-US" w:eastAsia="zh-CN" w:bidi="ar-SA"/>
        </w:rPr>
      </w:pPr>
      <w:r>
        <w:rPr>
          <w:rFonts w:hint="eastAsia" w:ascii="仿宋" w:hAnsi="仿宋" w:eastAsia="仿宋" w:cs="仿宋"/>
          <w:i w:val="0"/>
          <w:iCs w:val="0"/>
          <w:caps w:val="0"/>
          <w:color w:val="000000"/>
          <w:spacing w:val="0"/>
          <w:kern w:val="2"/>
          <w:sz w:val="32"/>
          <w:szCs w:val="32"/>
          <w:shd w:val="clear" w:color="auto" w:fill="FFFFFF"/>
          <w:lang w:val="en-US" w:eastAsia="zh-CN" w:bidi="ar-SA"/>
        </w:rPr>
        <w:t>2、竞标人应具有年检合格的《律师事务所执业许可证》（提供有效证书复印件并加盖供应商公章）；</w:t>
      </w:r>
    </w:p>
    <w:p w14:paraId="71838C0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kern w:val="2"/>
          <w:sz w:val="32"/>
          <w:szCs w:val="32"/>
          <w:shd w:val="clear" w:color="auto" w:fill="FFFFFF"/>
          <w:lang w:val="en-US" w:eastAsia="zh-CN" w:bidi="ar-SA"/>
        </w:rPr>
      </w:pPr>
      <w:r>
        <w:rPr>
          <w:rFonts w:hint="eastAsia" w:ascii="仿宋" w:hAnsi="仿宋" w:eastAsia="仿宋" w:cs="仿宋"/>
          <w:i w:val="0"/>
          <w:iCs w:val="0"/>
          <w:caps w:val="0"/>
          <w:color w:val="000000"/>
          <w:spacing w:val="0"/>
          <w:kern w:val="2"/>
          <w:sz w:val="32"/>
          <w:szCs w:val="32"/>
          <w:shd w:val="clear" w:color="auto" w:fill="FFFFFF"/>
          <w:lang w:val="en-US" w:eastAsia="zh-CN" w:bidi="ar-SA"/>
        </w:rPr>
        <w:t>3、参加本次竞标活动前三年内，在经营活动中没有重大违法记录（提供承诺函）；</w:t>
      </w:r>
    </w:p>
    <w:p w14:paraId="5D41FDE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kern w:val="2"/>
          <w:sz w:val="32"/>
          <w:szCs w:val="32"/>
          <w:shd w:val="clear" w:color="auto" w:fill="FFFFFF"/>
          <w:lang w:val="en-US" w:eastAsia="zh-CN" w:bidi="ar-SA"/>
        </w:rPr>
      </w:pPr>
      <w:r>
        <w:rPr>
          <w:rFonts w:hint="eastAsia" w:ascii="仿宋" w:hAnsi="仿宋" w:eastAsia="仿宋" w:cs="仿宋"/>
          <w:i w:val="0"/>
          <w:iCs w:val="0"/>
          <w:caps w:val="0"/>
          <w:color w:val="000000"/>
          <w:spacing w:val="0"/>
          <w:kern w:val="2"/>
          <w:sz w:val="32"/>
          <w:szCs w:val="32"/>
          <w:shd w:val="clear" w:color="auto" w:fill="FFFFFF"/>
          <w:lang w:val="en-US" w:eastAsia="zh-CN" w:bidi="ar-SA"/>
        </w:rPr>
        <w:t>4、具有履行合同所必需的场地、设备和专业技术能力（提供承诺函）；</w:t>
      </w:r>
    </w:p>
    <w:p w14:paraId="47034A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i w:val="0"/>
          <w:iCs w:val="0"/>
          <w:caps w:val="0"/>
          <w:color w:val="000000"/>
          <w:spacing w:val="0"/>
          <w:kern w:val="2"/>
          <w:sz w:val="32"/>
          <w:szCs w:val="32"/>
          <w:shd w:val="clear" w:color="auto" w:fill="FFFFFF"/>
          <w:lang w:val="en-US" w:eastAsia="zh-CN" w:bidi="ar-SA"/>
        </w:rPr>
        <w:t>5、具有良好的商业信誉和健全的财务会计制度（提供承诺函）。</w:t>
      </w:r>
    </w:p>
    <w:p w14:paraId="16E1E7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zh-CN" w:eastAsia="zh-CN"/>
        </w:rPr>
      </w:pPr>
      <w:r>
        <w:rPr>
          <w:rFonts w:hint="eastAsia" w:ascii="仿宋" w:hAnsi="仿宋" w:eastAsia="仿宋" w:cs="仿宋"/>
          <w:b w:val="0"/>
          <w:bCs/>
          <w:sz w:val="32"/>
          <w:szCs w:val="32"/>
          <w:lang w:val="zh-CN" w:eastAsia="zh-CN"/>
        </w:rPr>
        <w:t>三、竞争性磋商文件</w:t>
      </w:r>
    </w:p>
    <w:p w14:paraId="26A67D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zh-CN" w:eastAsia="zh-CN"/>
        </w:rPr>
      </w:pPr>
      <w:r>
        <w:rPr>
          <w:rFonts w:hint="eastAsia" w:ascii="仿宋" w:hAnsi="仿宋" w:eastAsia="仿宋" w:cs="仿宋"/>
          <w:b w:val="0"/>
          <w:bCs/>
          <w:sz w:val="32"/>
          <w:szCs w:val="32"/>
          <w:lang w:val="zh-CN" w:eastAsia="zh-CN"/>
        </w:rPr>
        <w:t>竞标人应仔细阅读</w:t>
      </w:r>
      <w:r>
        <w:rPr>
          <w:rFonts w:hint="eastAsia" w:ascii="仿宋" w:hAnsi="仿宋" w:eastAsia="仿宋" w:cs="仿宋"/>
          <w:b w:val="0"/>
          <w:bCs/>
          <w:sz w:val="32"/>
          <w:szCs w:val="32"/>
          <w:lang w:val="en-US" w:eastAsia="zh-CN"/>
        </w:rPr>
        <w:t>竞争性磋商文件</w:t>
      </w:r>
      <w:r>
        <w:rPr>
          <w:rFonts w:hint="eastAsia" w:ascii="仿宋" w:hAnsi="仿宋" w:eastAsia="仿宋" w:cs="仿宋"/>
          <w:b w:val="0"/>
          <w:bCs/>
          <w:sz w:val="32"/>
          <w:szCs w:val="32"/>
          <w:lang w:val="zh-CN" w:eastAsia="zh-CN"/>
        </w:rPr>
        <w:t>，按</w:t>
      </w:r>
      <w:r>
        <w:rPr>
          <w:rFonts w:hint="eastAsia" w:ascii="仿宋" w:hAnsi="仿宋" w:eastAsia="仿宋" w:cs="仿宋"/>
          <w:b w:val="0"/>
          <w:bCs/>
          <w:sz w:val="32"/>
          <w:szCs w:val="32"/>
          <w:lang w:val="en-US" w:eastAsia="zh-CN"/>
        </w:rPr>
        <w:t>竞争性磋商文件</w:t>
      </w:r>
      <w:r>
        <w:rPr>
          <w:rFonts w:hint="eastAsia" w:ascii="仿宋" w:hAnsi="仿宋" w:eastAsia="仿宋" w:cs="仿宋"/>
          <w:b w:val="0"/>
          <w:bCs/>
          <w:sz w:val="32"/>
          <w:szCs w:val="32"/>
          <w:lang w:val="zh-CN" w:eastAsia="zh-CN"/>
        </w:rPr>
        <w:t>的规定和要求的格式编写响应文件。</w:t>
      </w:r>
    </w:p>
    <w:p w14:paraId="30CD1D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zh-CN" w:eastAsia="zh-CN"/>
        </w:rPr>
      </w:pPr>
      <w:r>
        <w:rPr>
          <w:rFonts w:hint="eastAsia" w:ascii="仿宋" w:hAnsi="仿宋" w:eastAsia="仿宋" w:cs="仿宋"/>
          <w:b w:val="0"/>
          <w:bCs/>
          <w:sz w:val="32"/>
          <w:szCs w:val="32"/>
          <w:lang w:val="en-US" w:eastAsia="zh-CN"/>
        </w:rPr>
        <w:t>四</w:t>
      </w:r>
      <w:r>
        <w:rPr>
          <w:rFonts w:hint="eastAsia" w:ascii="仿宋" w:hAnsi="仿宋" w:eastAsia="仿宋" w:cs="仿宋"/>
          <w:b w:val="0"/>
          <w:bCs/>
          <w:sz w:val="32"/>
          <w:szCs w:val="32"/>
          <w:lang w:val="zh-CN" w:eastAsia="zh-CN"/>
        </w:rPr>
        <w:t>、费用报价</w:t>
      </w:r>
    </w:p>
    <w:p w14:paraId="292A4F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i w:val="0"/>
          <w:iCs w:val="0"/>
          <w:caps w:val="0"/>
          <w:color w:val="000000"/>
          <w:spacing w:val="0"/>
          <w:kern w:val="0"/>
          <w:sz w:val="32"/>
          <w:szCs w:val="32"/>
          <w:lang w:val="en-US" w:eastAsia="zh-CN" w:bidi="ar"/>
        </w:rPr>
      </w:pPr>
      <w:r>
        <w:rPr>
          <w:rFonts w:hint="eastAsia" w:ascii="仿宋" w:hAnsi="仿宋" w:eastAsia="仿宋" w:cs="仿宋"/>
          <w:i w:val="0"/>
          <w:iCs w:val="0"/>
          <w:caps w:val="0"/>
          <w:color w:val="000000"/>
          <w:spacing w:val="0"/>
          <w:kern w:val="0"/>
          <w:sz w:val="32"/>
          <w:szCs w:val="32"/>
          <w:lang w:val="en-US" w:eastAsia="zh-CN" w:bidi="ar"/>
        </w:rPr>
        <w:t>1、本项目的预算控制价为每年3万元，超过预算控制价的为无效报价；</w:t>
      </w:r>
    </w:p>
    <w:p w14:paraId="05A5F0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i w:val="0"/>
          <w:iCs w:val="0"/>
          <w:caps w:val="0"/>
          <w:color w:val="000000"/>
          <w:spacing w:val="0"/>
          <w:kern w:val="0"/>
          <w:sz w:val="32"/>
          <w:szCs w:val="32"/>
          <w:lang w:val="en-US" w:eastAsia="zh-CN" w:bidi="ar"/>
        </w:rPr>
      </w:pPr>
      <w:r>
        <w:rPr>
          <w:rFonts w:hint="eastAsia" w:ascii="仿宋" w:hAnsi="仿宋" w:eastAsia="仿宋" w:cs="仿宋"/>
          <w:i w:val="0"/>
          <w:iCs w:val="0"/>
          <w:caps w:val="0"/>
          <w:color w:val="000000"/>
          <w:spacing w:val="0"/>
          <w:kern w:val="0"/>
          <w:sz w:val="32"/>
          <w:szCs w:val="32"/>
          <w:lang w:val="en-US" w:eastAsia="zh-CN" w:bidi="ar"/>
        </w:rPr>
        <w:t>2、所有均包含在常年法律顾问服务费中，不另行收取；</w:t>
      </w:r>
    </w:p>
    <w:p w14:paraId="7E6CEF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zh-CN" w:eastAsia="zh-CN"/>
        </w:rPr>
      </w:pPr>
      <w:r>
        <w:rPr>
          <w:rFonts w:hint="eastAsia" w:ascii="仿宋" w:hAnsi="仿宋" w:eastAsia="仿宋" w:cs="仿宋"/>
          <w:b w:val="0"/>
          <w:bCs/>
          <w:sz w:val="32"/>
          <w:szCs w:val="32"/>
          <w:lang w:val="en-US" w:eastAsia="zh-CN"/>
        </w:rPr>
        <w:t>五、响应文件</w:t>
      </w:r>
      <w:r>
        <w:rPr>
          <w:rFonts w:hint="eastAsia" w:ascii="仿宋" w:hAnsi="仿宋" w:eastAsia="仿宋" w:cs="仿宋"/>
          <w:b w:val="0"/>
          <w:bCs/>
          <w:sz w:val="32"/>
          <w:szCs w:val="32"/>
          <w:lang w:val="zh-CN" w:eastAsia="zh-CN"/>
        </w:rPr>
        <w:t>的主要内容</w:t>
      </w:r>
    </w:p>
    <w:p w14:paraId="780E9E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i w:val="0"/>
          <w:iCs w:val="0"/>
          <w:caps w:val="0"/>
          <w:color w:val="000000"/>
          <w:spacing w:val="0"/>
          <w:kern w:val="0"/>
          <w:sz w:val="32"/>
          <w:szCs w:val="32"/>
          <w:lang w:val="en-US" w:eastAsia="zh-CN" w:bidi="ar"/>
        </w:rPr>
      </w:pPr>
      <w:r>
        <w:rPr>
          <w:rFonts w:hint="eastAsia" w:ascii="仿宋" w:hAnsi="仿宋" w:eastAsia="仿宋" w:cs="仿宋"/>
          <w:i w:val="0"/>
          <w:iCs w:val="0"/>
          <w:caps w:val="0"/>
          <w:color w:val="000000"/>
          <w:spacing w:val="0"/>
          <w:kern w:val="0"/>
          <w:sz w:val="32"/>
          <w:szCs w:val="32"/>
          <w:lang w:val="en-US" w:eastAsia="zh-CN" w:bidi="ar"/>
        </w:rPr>
        <w:t>1、申请书；</w:t>
      </w:r>
    </w:p>
    <w:p w14:paraId="656394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i w:val="0"/>
          <w:iCs w:val="0"/>
          <w:caps w:val="0"/>
          <w:color w:val="000000"/>
          <w:spacing w:val="0"/>
          <w:kern w:val="0"/>
          <w:sz w:val="32"/>
          <w:szCs w:val="32"/>
          <w:lang w:val="en-US" w:eastAsia="zh-CN" w:bidi="ar"/>
        </w:rPr>
      </w:pPr>
      <w:r>
        <w:rPr>
          <w:rFonts w:hint="eastAsia" w:ascii="仿宋" w:hAnsi="仿宋" w:eastAsia="仿宋" w:cs="仿宋"/>
          <w:i w:val="0"/>
          <w:iCs w:val="0"/>
          <w:caps w:val="0"/>
          <w:color w:val="000000"/>
          <w:spacing w:val="0"/>
          <w:kern w:val="0"/>
          <w:sz w:val="32"/>
          <w:szCs w:val="32"/>
          <w:lang w:val="en-US" w:eastAsia="zh-CN" w:bidi="ar"/>
        </w:rPr>
        <w:t>2、法定代表人授权书；</w:t>
      </w:r>
    </w:p>
    <w:p w14:paraId="2FE158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kern w:val="0"/>
          <w:sz w:val="32"/>
          <w:szCs w:val="32"/>
          <w:lang w:val="en-US" w:eastAsia="zh-CN" w:bidi="ar"/>
        </w:rPr>
        <w:t>3、常年法律顾问服务收费报价；</w:t>
      </w:r>
    </w:p>
    <w:p w14:paraId="44CCFE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kern w:val="0"/>
          <w:sz w:val="32"/>
          <w:szCs w:val="32"/>
          <w:lang w:val="en-US" w:eastAsia="zh-CN" w:bidi="ar"/>
        </w:rPr>
        <w:t>4、律师事务所组织机构简介；</w:t>
      </w:r>
    </w:p>
    <w:p w14:paraId="62CF02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kern w:val="0"/>
          <w:sz w:val="32"/>
          <w:szCs w:val="32"/>
          <w:lang w:val="en-US" w:eastAsia="zh-CN" w:bidi="ar"/>
        </w:rPr>
        <w:t>5、律师事务所资格信息及证明文件；</w:t>
      </w:r>
    </w:p>
    <w:p w14:paraId="2E23B5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kern w:val="0"/>
          <w:sz w:val="32"/>
          <w:szCs w:val="32"/>
          <w:lang w:val="en-US" w:eastAsia="zh-CN" w:bidi="ar"/>
        </w:rPr>
        <w:t>6、常年法律顾问服务方案；</w:t>
      </w:r>
    </w:p>
    <w:p w14:paraId="69A7F2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000000"/>
          <w:spacing w:val="0"/>
          <w:kern w:val="0"/>
          <w:sz w:val="32"/>
          <w:szCs w:val="32"/>
          <w:lang w:val="en-US" w:eastAsia="zh-CN" w:bidi="ar"/>
        </w:rPr>
      </w:pPr>
      <w:r>
        <w:rPr>
          <w:rFonts w:hint="eastAsia" w:ascii="仿宋" w:hAnsi="仿宋" w:eastAsia="仿宋" w:cs="仿宋"/>
          <w:i w:val="0"/>
          <w:iCs w:val="0"/>
          <w:caps w:val="0"/>
          <w:color w:val="000000"/>
          <w:spacing w:val="0"/>
          <w:kern w:val="0"/>
          <w:sz w:val="32"/>
          <w:szCs w:val="32"/>
          <w:lang w:val="en-US" w:eastAsia="zh-CN" w:bidi="ar"/>
        </w:rPr>
        <w:t>7、其他需要提供的内容。</w:t>
      </w:r>
    </w:p>
    <w:p w14:paraId="3110B4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zh-CN" w:eastAsia="zh-CN"/>
        </w:rPr>
      </w:pPr>
      <w:r>
        <w:rPr>
          <w:rFonts w:hint="eastAsia" w:ascii="仿宋" w:hAnsi="仿宋" w:eastAsia="仿宋" w:cs="仿宋"/>
          <w:b w:val="0"/>
          <w:bCs/>
          <w:sz w:val="32"/>
          <w:szCs w:val="32"/>
          <w:lang w:val="en-US" w:eastAsia="zh-CN"/>
        </w:rPr>
        <w:t>六</w:t>
      </w:r>
      <w:r>
        <w:rPr>
          <w:rFonts w:hint="eastAsia" w:ascii="仿宋" w:hAnsi="仿宋" w:eastAsia="仿宋" w:cs="仿宋"/>
          <w:b w:val="0"/>
          <w:bCs/>
          <w:sz w:val="32"/>
          <w:szCs w:val="32"/>
          <w:lang w:val="zh-CN" w:eastAsia="zh-CN"/>
        </w:rPr>
        <w:t>、</w:t>
      </w:r>
      <w:r>
        <w:rPr>
          <w:rFonts w:hint="eastAsia" w:ascii="仿宋" w:hAnsi="仿宋" w:eastAsia="仿宋" w:cs="仿宋"/>
          <w:b w:val="0"/>
          <w:bCs/>
          <w:sz w:val="32"/>
          <w:szCs w:val="32"/>
          <w:lang w:val="en-US" w:eastAsia="zh-CN"/>
        </w:rPr>
        <w:t>响应文件</w:t>
      </w:r>
      <w:r>
        <w:rPr>
          <w:rFonts w:hint="eastAsia" w:ascii="仿宋" w:hAnsi="仿宋" w:eastAsia="仿宋" w:cs="仿宋"/>
          <w:b w:val="0"/>
          <w:bCs/>
          <w:sz w:val="32"/>
          <w:szCs w:val="32"/>
          <w:lang w:val="zh-CN" w:eastAsia="zh-CN"/>
        </w:rPr>
        <w:t>的编制</w:t>
      </w:r>
    </w:p>
    <w:p w14:paraId="36A5AB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zh-CN" w:eastAsia="zh-CN"/>
        </w:rPr>
        <w:t>1、响应文件应按 “响应文件格式”进行编制，</w:t>
      </w:r>
      <w:r>
        <w:rPr>
          <w:rFonts w:hint="eastAsia" w:ascii="仿宋" w:hAnsi="仿宋" w:eastAsia="仿宋" w:cs="仿宋"/>
          <w:b w:val="0"/>
          <w:bCs/>
          <w:sz w:val="32"/>
          <w:szCs w:val="32"/>
          <w:lang w:val="en-US" w:eastAsia="zh-CN"/>
        </w:rPr>
        <w:t>未规定格式的，由竞标人根据实际情况自主编制。</w:t>
      </w:r>
    </w:p>
    <w:p w14:paraId="06F418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zh-CN" w:eastAsia="zh-CN"/>
        </w:rPr>
      </w:pPr>
      <w:r>
        <w:rPr>
          <w:rFonts w:hint="eastAsia" w:ascii="仿宋" w:hAnsi="仿宋" w:eastAsia="仿宋" w:cs="仿宋"/>
          <w:b w:val="0"/>
          <w:bCs/>
          <w:sz w:val="32"/>
          <w:szCs w:val="32"/>
          <w:lang w:val="zh-CN" w:eastAsia="zh-CN"/>
        </w:rPr>
        <w:t>2、竞争性磋商文件要求的证明文件，竞标人必须提供，竞争性磋商文件没有要求的证明文件，竞标人认为需要提供的，也可以提供。</w:t>
      </w:r>
    </w:p>
    <w:p w14:paraId="203878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zh-CN" w:eastAsia="zh-CN"/>
        </w:rPr>
      </w:pPr>
      <w:r>
        <w:rPr>
          <w:rFonts w:hint="eastAsia" w:ascii="仿宋" w:hAnsi="仿宋" w:eastAsia="仿宋" w:cs="仿宋"/>
          <w:b w:val="0"/>
          <w:bCs/>
          <w:sz w:val="32"/>
          <w:szCs w:val="32"/>
          <w:lang w:val="zh-CN" w:eastAsia="zh-CN"/>
        </w:rPr>
        <w:t>3、</w:t>
      </w:r>
      <w:r>
        <w:rPr>
          <w:rFonts w:hint="eastAsia" w:ascii="仿宋" w:hAnsi="仿宋" w:eastAsia="仿宋" w:cs="仿宋"/>
          <w:b w:val="0"/>
          <w:bCs/>
          <w:sz w:val="32"/>
          <w:szCs w:val="32"/>
          <w:lang w:val="en-US" w:eastAsia="zh-CN"/>
        </w:rPr>
        <w:t>响应文件应用A4纸制作并装订，</w:t>
      </w:r>
      <w:r>
        <w:rPr>
          <w:rFonts w:hint="eastAsia" w:ascii="仿宋" w:hAnsi="仿宋" w:eastAsia="仿宋" w:cs="仿宋"/>
          <w:b w:val="0"/>
          <w:bCs/>
          <w:sz w:val="32"/>
          <w:szCs w:val="32"/>
          <w:lang w:val="zh-CN" w:eastAsia="zh-CN"/>
        </w:rPr>
        <w:t>逐页编码，不得有任何涂改。</w:t>
      </w:r>
    </w:p>
    <w:p w14:paraId="5BF110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zh-CN" w:eastAsia="zh-CN"/>
        </w:rPr>
      </w:pPr>
      <w:r>
        <w:rPr>
          <w:rFonts w:hint="eastAsia" w:ascii="仿宋" w:hAnsi="仿宋" w:eastAsia="仿宋" w:cs="仿宋"/>
          <w:b w:val="0"/>
          <w:bCs/>
          <w:sz w:val="32"/>
          <w:szCs w:val="32"/>
          <w:lang w:val="zh-CN" w:eastAsia="zh-CN"/>
        </w:rPr>
        <w:t>4、响应文件正本一份、副本一份。正本和副本的封面上应清楚地标记“正本”和“副本”的字样。正副本内容应完全一致，如不一致时，以正本为准。</w:t>
      </w:r>
    </w:p>
    <w:p w14:paraId="16C230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zh-CN" w:eastAsia="zh-CN"/>
        </w:rPr>
      </w:pPr>
      <w:r>
        <w:rPr>
          <w:rFonts w:hint="eastAsia" w:ascii="仿宋" w:hAnsi="仿宋" w:eastAsia="仿宋" w:cs="仿宋"/>
          <w:b w:val="0"/>
          <w:bCs/>
          <w:sz w:val="32"/>
          <w:szCs w:val="32"/>
          <w:lang w:val="en-US" w:eastAsia="zh-CN"/>
        </w:rPr>
        <w:t>七</w:t>
      </w:r>
      <w:r>
        <w:rPr>
          <w:rFonts w:hint="eastAsia" w:ascii="仿宋" w:hAnsi="仿宋" w:eastAsia="仿宋" w:cs="仿宋"/>
          <w:b w:val="0"/>
          <w:bCs/>
          <w:sz w:val="32"/>
          <w:szCs w:val="32"/>
          <w:lang w:val="zh-CN" w:eastAsia="zh-CN"/>
        </w:rPr>
        <w:t>、响应文件的签署、密封与标识</w:t>
      </w:r>
    </w:p>
    <w:p w14:paraId="38D2A3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zh-CN" w:eastAsia="zh-CN"/>
        </w:rPr>
      </w:pPr>
      <w:r>
        <w:rPr>
          <w:rFonts w:hint="eastAsia" w:ascii="仿宋" w:hAnsi="仿宋" w:eastAsia="仿宋" w:cs="仿宋"/>
          <w:b w:val="0"/>
          <w:bCs/>
          <w:sz w:val="32"/>
          <w:szCs w:val="32"/>
          <w:lang w:val="zh-CN" w:eastAsia="zh-CN"/>
        </w:rPr>
        <w:t>1、响应文件</w:t>
      </w:r>
      <w:r>
        <w:rPr>
          <w:rFonts w:hint="eastAsia" w:ascii="仿宋" w:hAnsi="仿宋" w:eastAsia="仿宋" w:cs="仿宋"/>
          <w:b w:val="0"/>
          <w:bCs/>
          <w:sz w:val="32"/>
          <w:szCs w:val="32"/>
          <w:lang w:val="en-US" w:eastAsia="zh-CN"/>
        </w:rPr>
        <w:t>应进行有效签署</w:t>
      </w:r>
      <w:r>
        <w:rPr>
          <w:rFonts w:hint="eastAsia" w:ascii="仿宋" w:hAnsi="仿宋" w:eastAsia="仿宋" w:cs="仿宋"/>
          <w:b w:val="0"/>
          <w:bCs/>
          <w:sz w:val="32"/>
          <w:szCs w:val="32"/>
          <w:lang w:val="zh-CN" w:eastAsia="zh-CN"/>
        </w:rPr>
        <w:t>并加盖印鉴，否则申请文件无效。</w:t>
      </w:r>
    </w:p>
    <w:p w14:paraId="50DEBD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zh-CN" w:eastAsia="zh-CN"/>
        </w:rPr>
      </w:pPr>
      <w:r>
        <w:rPr>
          <w:rFonts w:hint="eastAsia" w:ascii="仿宋" w:hAnsi="仿宋" w:eastAsia="仿宋" w:cs="仿宋"/>
          <w:b w:val="0"/>
          <w:bCs/>
          <w:sz w:val="32"/>
          <w:szCs w:val="32"/>
          <w:lang w:val="zh-CN" w:eastAsia="zh-CN"/>
        </w:rPr>
        <w:t>2、响应文件的正本与副本应一起包装，响应文件的外包装应保证其密封性，在密封的骑缝处加盖公章。封套上应清楚地载明竞标人的名称、地址、电话。</w:t>
      </w:r>
    </w:p>
    <w:p w14:paraId="229800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zh-CN" w:eastAsia="zh-CN"/>
        </w:rPr>
      </w:pPr>
      <w:r>
        <w:rPr>
          <w:rFonts w:hint="eastAsia" w:ascii="仿宋" w:hAnsi="仿宋" w:eastAsia="仿宋" w:cs="仿宋"/>
          <w:b w:val="0"/>
          <w:bCs/>
          <w:sz w:val="32"/>
          <w:szCs w:val="32"/>
          <w:lang w:val="zh-CN" w:eastAsia="zh-CN"/>
        </w:rPr>
        <w:t>未按以上要求密封和加写标记的响应文件将不予受理。</w:t>
      </w:r>
    </w:p>
    <w:p w14:paraId="1E14A3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zh-CN" w:eastAsia="zh-CN"/>
        </w:rPr>
      </w:pPr>
      <w:r>
        <w:rPr>
          <w:rFonts w:hint="eastAsia" w:ascii="仿宋" w:hAnsi="仿宋" w:eastAsia="仿宋" w:cs="仿宋"/>
          <w:b w:val="0"/>
          <w:bCs/>
          <w:sz w:val="32"/>
          <w:szCs w:val="32"/>
          <w:lang w:val="en-US" w:eastAsia="zh-CN"/>
        </w:rPr>
        <w:t>八</w:t>
      </w:r>
      <w:r>
        <w:rPr>
          <w:rFonts w:hint="eastAsia" w:ascii="仿宋" w:hAnsi="仿宋" w:eastAsia="仿宋" w:cs="仿宋"/>
          <w:b w:val="0"/>
          <w:bCs/>
          <w:sz w:val="32"/>
          <w:szCs w:val="32"/>
          <w:lang w:val="zh-CN" w:eastAsia="zh-CN"/>
        </w:rPr>
        <w:t>、评审</w:t>
      </w:r>
    </w:p>
    <w:p w14:paraId="061F4AE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sz w:val="32"/>
          <w:szCs w:val="32"/>
          <w:lang w:val="zh-CN" w:eastAsia="zh-CN"/>
        </w:rPr>
      </w:pPr>
      <w:r>
        <w:rPr>
          <w:rFonts w:hint="eastAsia" w:ascii="仿宋" w:hAnsi="仿宋" w:eastAsia="仿宋" w:cs="仿宋"/>
          <w:i w:val="0"/>
          <w:iCs w:val="0"/>
          <w:caps w:val="0"/>
          <w:color w:val="000000"/>
          <w:spacing w:val="0"/>
          <w:kern w:val="0"/>
          <w:sz w:val="32"/>
          <w:szCs w:val="32"/>
          <w:lang w:val="zh-CN" w:eastAsia="zh-CN" w:bidi="ar"/>
        </w:rPr>
        <w:t>1、评审工</w:t>
      </w:r>
      <w:r>
        <w:rPr>
          <w:rFonts w:hint="eastAsia" w:ascii="仿宋" w:hAnsi="仿宋" w:eastAsia="仿宋" w:cs="仿宋"/>
          <w:b w:val="0"/>
          <w:bCs/>
          <w:sz w:val="32"/>
          <w:szCs w:val="32"/>
          <w:lang w:val="zh-CN" w:eastAsia="zh-CN"/>
        </w:rPr>
        <w:t>作由竞标人组建的竞标评审小组负责。</w:t>
      </w:r>
    </w:p>
    <w:p w14:paraId="4E8364A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kern w:val="0"/>
          <w:sz w:val="32"/>
          <w:szCs w:val="32"/>
          <w:lang w:val="en-US" w:eastAsia="zh-CN" w:bidi="ar"/>
        </w:rPr>
      </w:pPr>
      <w:r>
        <w:rPr>
          <w:rFonts w:hint="eastAsia" w:ascii="仿宋" w:hAnsi="仿宋" w:eastAsia="仿宋" w:cs="仿宋"/>
          <w:i w:val="0"/>
          <w:iCs w:val="0"/>
          <w:caps w:val="0"/>
          <w:color w:val="000000"/>
          <w:spacing w:val="0"/>
          <w:kern w:val="0"/>
          <w:sz w:val="32"/>
          <w:szCs w:val="32"/>
          <w:lang w:val="en-US" w:eastAsia="zh-CN" w:bidi="ar"/>
        </w:rPr>
        <w:t>2.根据报名参加竞聘的律师事务所提供的材料，由我校评审小组综合依据律师事务所规模、投标报价、投标及服务实力（含执业经验等）、获奖情况、服务方案、标书规范等因素进行综合评议，择优确定聘请单位。</w:t>
      </w:r>
    </w:p>
    <w:p w14:paraId="6F06B4E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kern w:val="0"/>
          <w:sz w:val="32"/>
          <w:szCs w:val="32"/>
          <w:lang w:val="en-US" w:eastAsia="zh-CN" w:bidi="ar"/>
        </w:rPr>
      </w:pPr>
      <w:r>
        <w:rPr>
          <w:rFonts w:hint="eastAsia" w:ascii="仿宋" w:hAnsi="仿宋" w:eastAsia="仿宋" w:cs="仿宋"/>
          <w:i w:val="0"/>
          <w:iCs w:val="0"/>
          <w:caps w:val="0"/>
          <w:color w:val="000000"/>
          <w:spacing w:val="0"/>
          <w:kern w:val="0"/>
          <w:sz w:val="32"/>
          <w:szCs w:val="32"/>
          <w:lang w:val="en-US" w:eastAsia="zh-CN" w:bidi="ar"/>
        </w:rPr>
        <w:t>3. 报名竞聘的律师事务所未按要求提供材料的，作为无效报名处理。律师事务所必须保证报名材料所含一切文件和信息的真实性，其中涉及的证书性文件须于答辩前携带原件进行核对。弄虚作假的，取消应聘资格。</w:t>
      </w:r>
    </w:p>
    <w:p w14:paraId="53E105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000000"/>
          <w:spacing w:val="0"/>
          <w:kern w:val="0"/>
          <w:sz w:val="32"/>
          <w:szCs w:val="32"/>
          <w:lang w:val="en-US" w:eastAsia="zh-CN" w:bidi="ar"/>
        </w:rPr>
      </w:pPr>
      <w:r>
        <w:rPr>
          <w:rFonts w:hint="eastAsia" w:ascii="仿宋" w:hAnsi="仿宋" w:eastAsia="仿宋" w:cs="仿宋"/>
          <w:i w:val="0"/>
          <w:iCs w:val="0"/>
          <w:caps w:val="0"/>
          <w:color w:val="000000"/>
          <w:spacing w:val="0"/>
          <w:kern w:val="0"/>
          <w:sz w:val="32"/>
          <w:szCs w:val="32"/>
          <w:lang w:val="en-US" w:eastAsia="zh-CN" w:bidi="ar"/>
        </w:rPr>
        <w:t>4.入库律所综合评分排名第一的为学校常年法律顾问单位。中标单位确定后，我校与其签署常年法律顾问服务合同。中标单位名单将在西昌民族幼儿师范高等专科学校网站公布，不再另行通知未中标单位。</w:t>
      </w:r>
    </w:p>
    <w:p w14:paraId="249596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zh-CN" w:eastAsia="zh-CN"/>
        </w:rPr>
      </w:pPr>
      <w:r>
        <w:rPr>
          <w:rFonts w:hint="eastAsia" w:ascii="仿宋" w:hAnsi="仿宋" w:eastAsia="仿宋" w:cs="仿宋"/>
          <w:b w:val="0"/>
          <w:bCs/>
          <w:sz w:val="32"/>
          <w:szCs w:val="32"/>
          <w:lang w:val="en-US" w:eastAsia="zh-CN"/>
        </w:rPr>
        <w:t>九</w:t>
      </w:r>
      <w:r>
        <w:rPr>
          <w:rFonts w:hint="eastAsia" w:ascii="仿宋" w:hAnsi="仿宋" w:eastAsia="仿宋" w:cs="仿宋"/>
          <w:b w:val="0"/>
          <w:bCs/>
          <w:sz w:val="32"/>
          <w:szCs w:val="32"/>
          <w:lang w:val="zh-CN" w:eastAsia="zh-CN"/>
        </w:rPr>
        <w:t>、确定中标人</w:t>
      </w:r>
    </w:p>
    <w:p w14:paraId="29B819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经公示无异议，竞标单位将确定本次竞标的中标人，并向中标人发出中标通知书。若中标人放弃中标或提出书面说明不能履行合同的，竞标人将依次从候选人中补齐中标人。如果出现并列的情况，竞标人有权自行从中确定中标人，其他竞标人不得有异议。</w:t>
      </w:r>
    </w:p>
    <w:p w14:paraId="686C2374">
      <w:pPr>
        <w:pStyle w:val="6"/>
        <w:rPr>
          <w:rFonts w:hint="eastAsia" w:ascii="仿宋" w:hAnsi="仿宋" w:eastAsia="仿宋" w:cs="仿宋"/>
          <w:sz w:val="30"/>
          <w:szCs w:val="30"/>
        </w:rPr>
      </w:pPr>
    </w:p>
    <w:p w14:paraId="0E269967">
      <w:pPr>
        <w:jc w:val="center"/>
        <w:outlineLvl w:val="0"/>
        <w:rPr>
          <w:rFonts w:hint="eastAsia" w:ascii="仿宋" w:hAnsi="仿宋" w:eastAsia="仿宋" w:cs="仿宋"/>
          <w:bCs/>
          <w:kern w:val="0"/>
          <w:sz w:val="30"/>
          <w:szCs w:val="30"/>
          <w:lang w:val="zh-CN"/>
        </w:rPr>
      </w:pPr>
      <w:r>
        <w:rPr>
          <w:rFonts w:hint="eastAsia" w:ascii="仿宋" w:hAnsi="仿宋" w:eastAsia="仿宋" w:cs="仿宋"/>
          <w:kern w:val="0"/>
          <w:sz w:val="30"/>
          <w:szCs w:val="30"/>
          <w:lang w:val="zh-CN"/>
        </w:rPr>
        <w:br w:type="page"/>
      </w:r>
      <w:bookmarkStart w:id="1" w:name="_Toc23440"/>
      <w:r>
        <w:rPr>
          <w:rFonts w:hint="eastAsia" w:ascii="仿宋" w:hAnsi="仿宋" w:eastAsia="仿宋" w:cs="仿宋"/>
          <w:b/>
          <w:bCs/>
          <w:kern w:val="44"/>
          <w:sz w:val="30"/>
          <w:szCs w:val="30"/>
          <w:lang w:val="zh-CN"/>
        </w:rPr>
        <w:t>第三部分 响应文件的格式</w:t>
      </w:r>
      <w:bookmarkEnd w:id="1"/>
    </w:p>
    <w:p w14:paraId="6A3032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1、竞标人按“响应文件的格式”编制响应文件。竞争性磋商文件未规定格式的，由竞标人根据实际情况自主编制。</w:t>
      </w:r>
    </w:p>
    <w:p w14:paraId="0A3D85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2、竞标人应在响应文件封面和《法定代表人授权书》中的“竞标人”一栏填上竞标人的全称并加盖公章。</w:t>
      </w:r>
    </w:p>
    <w:p w14:paraId="427966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3、响应文件中的表格或空格如填写不下，可编辑扩充或另附页。除形式外，竞标人不得改变其内容要求，违反者视作放弃竞标。</w:t>
      </w:r>
    </w:p>
    <w:p w14:paraId="4399CCA2">
      <w:pPr>
        <w:rPr>
          <w:rFonts w:hint="eastAsia" w:ascii="仿宋" w:hAnsi="仿宋" w:eastAsia="仿宋" w:cs="仿宋"/>
          <w:bCs/>
          <w:sz w:val="30"/>
          <w:szCs w:val="30"/>
        </w:rPr>
      </w:pPr>
      <w:r>
        <w:rPr>
          <w:rFonts w:hint="eastAsia" w:ascii="仿宋" w:hAnsi="仿宋" w:eastAsia="仿宋" w:cs="仿宋"/>
          <w:b/>
          <w:sz w:val="30"/>
          <w:szCs w:val="30"/>
        </w:rPr>
        <w:br w:type="page"/>
      </w:r>
      <w:r>
        <w:rPr>
          <w:rFonts w:hint="eastAsia" w:ascii="仿宋" w:hAnsi="仿宋" w:eastAsia="仿宋" w:cs="仿宋"/>
          <w:b/>
          <w:sz w:val="30"/>
          <w:szCs w:val="30"/>
          <w:lang w:val="zh-CN"/>
        </w:rPr>
        <w:t>响应文件封面</w:t>
      </w:r>
    </w:p>
    <w:p w14:paraId="7A40E698">
      <w:pPr>
        <w:spacing w:line="360" w:lineRule="auto"/>
        <w:rPr>
          <w:rFonts w:hint="eastAsia" w:ascii="仿宋" w:hAnsi="仿宋" w:eastAsia="仿宋" w:cs="仿宋"/>
          <w:b/>
          <w:sz w:val="30"/>
          <w:szCs w:val="30"/>
        </w:rPr>
      </w:pPr>
    </w:p>
    <w:p w14:paraId="0BA530C7">
      <w:pPr>
        <w:spacing w:after="160" w:line="360" w:lineRule="auto"/>
        <w:jc w:val="right"/>
        <w:rPr>
          <w:rFonts w:hint="eastAsia" w:ascii="仿宋" w:hAnsi="仿宋" w:eastAsia="仿宋" w:cs="仿宋"/>
          <w:b/>
          <w:sz w:val="30"/>
          <w:szCs w:val="30"/>
        </w:rPr>
      </w:pPr>
      <w:r>
        <w:rPr>
          <w:rFonts w:hint="eastAsia" w:ascii="仿宋" w:hAnsi="仿宋" w:eastAsia="仿宋" w:cs="仿宋"/>
          <w:b/>
          <w:sz w:val="30"/>
          <w:szCs w:val="30"/>
        </w:rPr>
        <w:t>正本</w:t>
      </w:r>
      <w:r>
        <w:rPr>
          <w:rFonts w:hint="eastAsia" w:ascii="仿宋" w:hAnsi="仿宋" w:eastAsia="仿宋" w:cs="仿宋"/>
          <w:b/>
          <w:sz w:val="30"/>
          <w:szCs w:val="30"/>
          <w:lang w:eastAsia="zh-CN"/>
        </w:rPr>
        <w:t>（</w:t>
      </w:r>
      <w:r>
        <w:rPr>
          <w:rFonts w:hint="eastAsia" w:ascii="仿宋" w:hAnsi="仿宋" w:eastAsia="仿宋" w:cs="仿宋"/>
          <w:b/>
          <w:sz w:val="30"/>
          <w:szCs w:val="30"/>
        </w:rPr>
        <w:t>或副本</w:t>
      </w:r>
      <w:r>
        <w:rPr>
          <w:rFonts w:hint="eastAsia" w:ascii="仿宋" w:hAnsi="仿宋" w:eastAsia="仿宋" w:cs="仿宋"/>
          <w:b/>
          <w:sz w:val="30"/>
          <w:szCs w:val="30"/>
          <w:lang w:eastAsia="zh-CN"/>
        </w:rPr>
        <w:t>）</w:t>
      </w:r>
    </w:p>
    <w:p w14:paraId="4577045A">
      <w:pPr>
        <w:spacing w:after="160" w:line="360" w:lineRule="auto"/>
        <w:jc w:val="center"/>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t>西昌民族幼儿师范高等专科学校</w:t>
      </w:r>
    </w:p>
    <w:p w14:paraId="5D287F86">
      <w:pPr>
        <w:spacing w:after="160" w:line="360" w:lineRule="auto"/>
        <w:jc w:val="center"/>
        <w:rPr>
          <w:rFonts w:hint="eastAsia" w:ascii="仿宋" w:hAnsi="仿宋" w:eastAsia="仿宋" w:cs="仿宋"/>
          <w:b/>
          <w:sz w:val="30"/>
          <w:szCs w:val="30"/>
        </w:rPr>
      </w:pPr>
      <w:r>
        <w:rPr>
          <w:rFonts w:hint="eastAsia" w:ascii="仿宋" w:hAnsi="仿宋" w:eastAsia="仿宋" w:cs="仿宋"/>
          <w:b/>
          <w:sz w:val="30"/>
          <w:szCs w:val="30"/>
          <w:lang w:val="en-US" w:eastAsia="zh-CN"/>
        </w:rPr>
        <w:t>学校常年法律顾问服务采购</w:t>
      </w:r>
      <w:r>
        <w:rPr>
          <w:rFonts w:hint="eastAsia" w:ascii="仿宋" w:hAnsi="仿宋" w:eastAsia="仿宋" w:cs="仿宋"/>
          <w:b/>
          <w:sz w:val="30"/>
          <w:szCs w:val="30"/>
        </w:rPr>
        <w:t>项目</w:t>
      </w:r>
    </w:p>
    <w:p w14:paraId="17E9477D">
      <w:pPr>
        <w:autoSpaceDE w:val="0"/>
        <w:autoSpaceDN w:val="0"/>
        <w:adjustRightInd w:val="0"/>
        <w:spacing w:line="360" w:lineRule="auto"/>
        <w:jc w:val="center"/>
        <w:rPr>
          <w:rFonts w:hint="eastAsia" w:ascii="仿宋" w:hAnsi="仿宋" w:eastAsia="仿宋" w:cs="仿宋"/>
          <w:b/>
          <w:spacing w:val="57"/>
          <w:kern w:val="0"/>
          <w:sz w:val="30"/>
          <w:szCs w:val="30"/>
        </w:rPr>
      </w:pPr>
    </w:p>
    <w:p w14:paraId="73FE27F8">
      <w:pPr>
        <w:spacing w:after="160" w:line="360" w:lineRule="auto"/>
        <w:jc w:val="center"/>
        <w:rPr>
          <w:rFonts w:hint="eastAsia" w:ascii="仿宋" w:hAnsi="仿宋" w:eastAsia="仿宋" w:cs="仿宋"/>
          <w:b/>
          <w:sz w:val="30"/>
          <w:szCs w:val="30"/>
        </w:rPr>
      </w:pPr>
    </w:p>
    <w:p w14:paraId="77EB3E14">
      <w:pPr>
        <w:spacing w:after="160" w:line="360" w:lineRule="auto"/>
        <w:jc w:val="center"/>
        <w:outlineLvl w:val="1"/>
        <w:rPr>
          <w:rFonts w:hint="eastAsia" w:ascii="仿宋" w:hAnsi="仿宋" w:eastAsia="仿宋" w:cs="仿宋"/>
          <w:b/>
          <w:sz w:val="30"/>
          <w:szCs w:val="30"/>
          <w:lang w:val="zh-CN"/>
        </w:rPr>
      </w:pPr>
      <w:r>
        <w:rPr>
          <w:rFonts w:hint="eastAsia" w:ascii="仿宋" w:hAnsi="仿宋" w:eastAsia="仿宋" w:cs="仿宋"/>
          <w:b/>
          <w:sz w:val="30"/>
          <w:szCs w:val="30"/>
          <w:lang w:eastAsia="zh-CN"/>
        </w:rPr>
        <w:t>响应文件</w:t>
      </w:r>
    </w:p>
    <w:p w14:paraId="0A77113E">
      <w:pPr>
        <w:autoSpaceDE w:val="0"/>
        <w:autoSpaceDN w:val="0"/>
        <w:adjustRightInd w:val="0"/>
        <w:spacing w:line="360" w:lineRule="auto"/>
        <w:jc w:val="center"/>
        <w:rPr>
          <w:rFonts w:hint="eastAsia" w:ascii="仿宋" w:hAnsi="仿宋" w:eastAsia="仿宋" w:cs="仿宋"/>
          <w:kern w:val="0"/>
          <w:sz w:val="30"/>
          <w:szCs w:val="30"/>
          <w:lang w:val="zh-CN"/>
        </w:rPr>
      </w:pPr>
    </w:p>
    <w:p w14:paraId="6449D668">
      <w:pPr>
        <w:autoSpaceDE w:val="0"/>
        <w:autoSpaceDN w:val="0"/>
        <w:adjustRightInd w:val="0"/>
        <w:spacing w:line="360" w:lineRule="auto"/>
        <w:ind w:firstLine="295" w:firstLineChars="98"/>
        <w:rPr>
          <w:rFonts w:hint="eastAsia" w:ascii="仿宋" w:hAnsi="仿宋" w:eastAsia="仿宋" w:cs="仿宋"/>
          <w:b/>
          <w:kern w:val="0"/>
          <w:sz w:val="30"/>
          <w:szCs w:val="30"/>
          <w:lang w:val="zh-CN"/>
        </w:rPr>
      </w:pPr>
    </w:p>
    <w:p w14:paraId="4786EC3E">
      <w:pPr>
        <w:spacing w:after="160" w:line="360" w:lineRule="auto"/>
        <w:jc w:val="left"/>
        <w:rPr>
          <w:rFonts w:hint="eastAsia" w:ascii="仿宋" w:hAnsi="仿宋" w:eastAsia="仿宋" w:cs="仿宋"/>
          <w:b/>
          <w:sz w:val="30"/>
          <w:szCs w:val="30"/>
          <w:lang w:val="zh-CN"/>
        </w:rPr>
      </w:pPr>
      <w:r>
        <w:rPr>
          <w:rFonts w:hint="eastAsia" w:ascii="仿宋" w:hAnsi="仿宋" w:eastAsia="仿宋" w:cs="仿宋"/>
          <w:b/>
          <w:sz w:val="30"/>
          <w:szCs w:val="30"/>
          <w:lang w:val="zh-CN"/>
        </w:rPr>
        <w:t>招标代理机构：</w:t>
      </w:r>
      <w:r>
        <w:rPr>
          <w:rFonts w:hint="eastAsia" w:ascii="仿宋" w:hAnsi="仿宋" w:eastAsia="仿宋" w:cs="仿宋"/>
          <w:b/>
          <w:sz w:val="30"/>
          <w:szCs w:val="30"/>
          <w:u w:val="single"/>
        </w:rPr>
        <w:t xml:space="preserve">           </w:t>
      </w:r>
      <w:r>
        <w:rPr>
          <w:rFonts w:hint="eastAsia" w:ascii="仿宋" w:hAnsi="仿宋" w:eastAsia="仿宋" w:cs="仿宋"/>
          <w:b/>
          <w:sz w:val="30"/>
          <w:szCs w:val="30"/>
        </w:rPr>
        <w:t xml:space="preserve">（全称并加盖单位公章）       </w:t>
      </w:r>
    </w:p>
    <w:p w14:paraId="5BE21D33">
      <w:pPr>
        <w:spacing w:after="160" w:line="360" w:lineRule="auto"/>
        <w:jc w:val="left"/>
        <w:rPr>
          <w:rFonts w:hint="eastAsia" w:ascii="仿宋" w:hAnsi="仿宋" w:eastAsia="仿宋" w:cs="仿宋"/>
          <w:b/>
          <w:sz w:val="30"/>
          <w:szCs w:val="30"/>
        </w:rPr>
      </w:pPr>
      <w:r>
        <w:rPr>
          <w:rFonts w:hint="eastAsia" w:ascii="仿宋" w:hAnsi="仿宋" w:eastAsia="仿宋" w:cs="仿宋"/>
          <w:b/>
          <w:sz w:val="30"/>
          <w:szCs w:val="30"/>
        </w:rPr>
        <w:t>申 请 时 间：</w:t>
      </w:r>
      <w:r>
        <w:rPr>
          <w:rFonts w:hint="eastAsia" w:ascii="仿宋" w:hAnsi="仿宋" w:eastAsia="仿宋" w:cs="仿宋"/>
          <w:b/>
          <w:sz w:val="30"/>
          <w:szCs w:val="30"/>
          <w:u w:val="single"/>
        </w:rPr>
        <w:t xml:space="preserve">     </w:t>
      </w:r>
      <w:r>
        <w:rPr>
          <w:rFonts w:hint="eastAsia" w:ascii="仿宋" w:hAnsi="仿宋" w:eastAsia="仿宋" w:cs="仿宋"/>
          <w:b/>
          <w:sz w:val="30"/>
          <w:szCs w:val="30"/>
        </w:rPr>
        <w:t>年</w:t>
      </w:r>
      <w:r>
        <w:rPr>
          <w:rFonts w:hint="eastAsia" w:ascii="仿宋" w:hAnsi="仿宋" w:eastAsia="仿宋" w:cs="仿宋"/>
          <w:b/>
          <w:sz w:val="30"/>
          <w:szCs w:val="30"/>
          <w:u w:val="single"/>
        </w:rPr>
        <w:t xml:space="preserve">   </w:t>
      </w:r>
      <w:r>
        <w:rPr>
          <w:rFonts w:hint="eastAsia" w:ascii="仿宋" w:hAnsi="仿宋" w:eastAsia="仿宋" w:cs="仿宋"/>
          <w:b/>
          <w:sz w:val="30"/>
          <w:szCs w:val="30"/>
        </w:rPr>
        <w:t>月</w:t>
      </w:r>
      <w:r>
        <w:rPr>
          <w:rFonts w:hint="eastAsia" w:ascii="仿宋" w:hAnsi="仿宋" w:eastAsia="仿宋" w:cs="仿宋"/>
          <w:b/>
          <w:sz w:val="30"/>
          <w:szCs w:val="30"/>
          <w:u w:val="single"/>
        </w:rPr>
        <w:t xml:space="preserve">   </w:t>
      </w:r>
      <w:r>
        <w:rPr>
          <w:rFonts w:hint="eastAsia" w:ascii="仿宋" w:hAnsi="仿宋" w:eastAsia="仿宋" w:cs="仿宋"/>
          <w:b/>
          <w:sz w:val="30"/>
          <w:szCs w:val="30"/>
        </w:rPr>
        <w:t xml:space="preserve">日                   </w:t>
      </w:r>
    </w:p>
    <w:p w14:paraId="4ADD4CE3">
      <w:pPr>
        <w:spacing w:after="160" w:line="360" w:lineRule="auto"/>
        <w:jc w:val="left"/>
        <w:rPr>
          <w:rFonts w:hint="eastAsia" w:ascii="仿宋" w:hAnsi="仿宋" w:eastAsia="仿宋" w:cs="仿宋"/>
          <w:b/>
          <w:sz w:val="30"/>
          <w:szCs w:val="30"/>
          <w:u w:val="single"/>
        </w:rPr>
      </w:pPr>
      <w:r>
        <w:rPr>
          <w:rFonts w:hint="eastAsia" w:ascii="仿宋" w:hAnsi="仿宋" w:eastAsia="仿宋" w:cs="仿宋"/>
          <w:b/>
          <w:sz w:val="30"/>
          <w:szCs w:val="30"/>
          <w:lang w:val="en-US" w:eastAsia="zh-CN"/>
        </w:rPr>
        <w:t xml:space="preserve">联系人：                              </w:t>
      </w:r>
      <w:r>
        <w:rPr>
          <w:rFonts w:hint="eastAsia" w:ascii="仿宋" w:hAnsi="仿宋" w:eastAsia="仿宋" w:cs="仿宋"/>
          <w:b/>
          <w:sz w:val="30"/>
          <w:szCs w:val="30"/>
        </w:rPr>
        <w:t>联系电话</w:t>
      </w:r>
      <w:r>
        <w:rPr>
          <w:rFonts w:hint="eastAsia" w:ascii="仿宋" w:hAnsi="仿宋" w:eastAsia="仿宋" w:cs="仿宋"/>
          <w:b/>
          <w:sz w:val="30"/>
          <w:szCs w:val="30"/>
          <w:lang w:eastAsia="zh-CN"/>
        </w:rPr>
        <w:t>：</w:t>
      </w:r>
    </w:p>
    <w:p w14:paraId="29F88F40">
      <w:pPr>
        <w:spacing w:line="360" w:lineRule="auto"/>
        <w:jc w:val="center"/>
        <w:rPr>
          <w:rFonts w:hint="eastAsia" w:ascii="仿宋" w:hAnsi="仿宋" w:eastAsia="仿宋" w:cs="仿宋"/>
          <w:b/>
          <w:sz w:val="30"/>
          <w:szCs w:val="30"/>
        </w:rPr>
      </w:pPr>
    </w:p>
    <w:p w14:paraId="1A10FC4D">
      <w:pPr>
        <w:spacing w:line="360" w:lineRule="auto"/>
        <w:jc w:val="center"/>
        <w:rPr>
          <w:rFonts w:hint="eastAsia" w:ascii="仿宋" w:hAnsi="仿宋" w:eastAsia="仿宋" w:cs="仿宋"/>
          <w:sz w:val="30"/>
          <w:szCs w:val="30"/>
        </w:rPr>
      </w:pPr>
      <w:r>
        <w:rPr>
          <w:rFonts w:hint="eastAsia" w:ascii="仿宋" w:hAnsi="仿宋" w:eastAsia="仿宋" w:cs="仿宋"/>
          <w:b/>
          <w:sz w:val="30"/>
          <w:szCs w:val="30"/>
          <w:lang w:eastAsia="zh-CN"/>
        </w:rPr>
        <w:t>响应文件</w:t>
      </w:r>
      <w:r>
        <w:rPr>
          <w:rFonts w:hint="eastAsia" w:ascii="仿宋" w:hAnsi="仿宋" w:eastAsia="仿宋" w:cs="仿宋"/>
          <w:b/>
          <w:sz w:val="30"/>
          <w:szCs w:val="30"/>
        </w:rPr>
        <w:t>递交截止时间之前不得启封</w:t>
      </w:r>
    </w:p>
    <w:p w14:paraId="0D93792A">
      <w:pPr>
        <w:outlineLvl w:val="1"/>
        <w:rPr>
          <w:rFonts w:hint="eastAsia" w:ascii="仿宋" w:hAnsi="仿宋" w:eastAsia="仿宋" w:cs="仿宋"/>
          <w:b/>
          <w:sz w:val="30"/>
          <w:szCs w:val="30"/>
          <w:lang w:val="zh-CN"/>
        </w:rPr>
      </w:pPr>
      <w:r>
        <w:rPr>
          <w:rFonts w:hint="eastAsia" w:ascii="仿宋" w:hAnsi="仿宋" w:eastAsia="仿宋" w:cs="仿宋"/>
          <w:bCs/>
          <w:sz w:val="30"/>
          <w:szCs w:val="30"/>
        </w:rPr>
        <w:br w:type="page"/>
      </w:r>
      <w:bookmarkStart w:id="2" w:name="_Toc28620"/>
      <w:r>
        <w:rPr>
          <w:rFonts w:hint="eastAsia" w:ascii="仿宋" w:hAnsi="仿宋" w:eastAsia="仿宋" w:cs="仿宋"/>
          <w:b/>
          <w:sz w:val="30"/>
          <w:szCs w:val="30"/>
          <w:lang w:val="zh-CN"/>
        </w:rPr>
        <w:t>1、招标代理申请</w:t>
      </w:r>
      <w:bookmarkEnd w:id="2"/>
    </w:p>
    <w:p w14:paraId="7DEA1D9A">
      <w:pPr>
        <w:outlineLvl w:val="1"/>
        <w:rPr>
          <w:rFonts w:hint="eastAsia" w:ascii="仿宋" w:hAnsi="仿宋" w:eastAsia="仿宋" w:cs="仿宋"/>
          <w:b/>
          <w:sz w:val="30"/>
          <w:szCs w:val="30"/>
          <w:lang w:val="zh-CN"/>
        </w:rPr>
      </w:pPr>
    </w:p>
    <w:p w14:paraId="372C28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致：西昌民族幼儿师范高等专科学校</w:t>
      </w:r>
    </w:p>
    <w:p w14:paraId="182023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p>
    <w:p w14:paraId="789088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一、我公司非常愿意参加此常年法律顾问服务采购项目的竞争性磋商。作为       （竞标人）合法行使其职责的代表，在审查和完全理解了所提供的所有竞争性磋商文件后，以下签字人在此作为常年法律顾问服务采购项目代表为获得____________（项目名称）的委托常年法律顾问服务采购合同参加你们组织的常年法律顾问服务采购项目竞争性磋商。</w:t>
      </w:r>
    </w:p>
    <w:p w14:paraId="293809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二、我公司对提交的所有响应文件负责。你方的机构或授权单位可对我公司进行查询或调查，以证实有关本申请提交的声明、文件和资料的真实性。</w:t>
      </w:r>
    </w:p>
    <w:p w14:paraId="51EFCA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三、我公司完全理解竞标单位因法律和政策原因取消竞标以及拒绝所有的响应文件，并对此类任何行动不承担任何责任。</w:t>
      </w:r>
    </w:p>
    <w:p w14:paraId="660ADA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p>
    <w:p w14:paraId="0FDE6E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p>
    <w:p w14:paraId="662FF9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法定代表人或委托代理人：         （签字或盖章）  </w:t>
      </w:r>
    </w:p>
    <w:p w14:paraId="10E563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日期：_____年___月___日</w:t>
      </w:r>
    </w:p>
    <w:p w14:paraId="000B47B6">
      <w:pPr>
        <w:outlineLvl w:val="1"/>
        <w:rPr>
          <w:rFonts w:hint="eastAsia" w:ascii="仿宋" w:hAnsi="仿宋" w:eastAsia="仿宋" w:cs="仿宋"/>
          <w:bCs/>
          <w:sz w:val="30"/>
          <w:szCs w:val="30"/>
        </w:rPr>
      </w:pPr>
      <w:r>
        <w:rPr>
          <w:rFonts w:hint="eastAsia" w:ascii="仿宋" w:hAnsi="仿宋" w:eastAsia="仿宋" w:cs="仿宋"/>
          <w:bCs/>
          <w:sz w:val="30"/>
          <w:szCs w:val="30"/>
        </w:rPr>
        <w:br w:type="page"/>
      </w:r>
      <w:bookmarkStart w:id="3" w:name="_Toc9634"/>
      <w:r>
        <w:rPr>
          <w:rFonts w:hint="eastAsia" w:ascii="仿宋" w:hAnsi="仿宋" w:eastAsia="仿宋" w:cs="仿宋"/>
          <w:b/>
          <w:sz w:val="30"/>
          <w:szCs w:val="30"/>
          <w:lang w:val="zh-CN"/>
        </w:rPr>
        <w:t>2、法定代表人授权书</w:t>
      </w:r>
      <w:bookmarkEnd w:id="3"/>
    </w:p>
    <w:p w14:paraId="62A620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p>
    <w:p w14:paraId="362301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本授权委托书声明：我         （姓名） 系     （竞标人）的法定代表人，现授权  （姓名） 为我公司委托代理人，以本公司的名义参加         （项目名称）活动。委托代理人在学校常年法律顾问服务采购竞标活动和委托代理合同谈判过程中所签署的一切文件和处理与之有关的一切事务，我及我公司均予以承认并全部承担其所产生的所有权利和义务。</w:t>
      </w:r>
    </w:p>
    <w:p w14:paraId="4516D8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委托代理人无转委托权。特此委托。</w:t>
      </w:r>
    </w:p>
    <w:p w14:paraId="2CCA09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p>
    <w:p w14:paraId="5E26B4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p>
    <w:p w14:paraId="58C077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授权人（法定代表人）：        （签字或盖章） </w:t>
      </w:r>
    </w:p>
    <w:p w14:paraId="489437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委托代理人：          （签字或盖章） </w:t>
      </w:r>
    </w:p>
    <w:p w14:paraId="41D0A7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w:t>
      </w:r>
    </w:p>
    <w:p w14:paraId="305AF4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w:t>
      </w:r>
    </w:p>
    <w:p w14:paraId="158D3B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供应商：      （全称并加盖单位公章）</w:t>
      </w:r>
    </w:p>
    <w:p w14:paraId="5F304C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日期：     年     月    日</w:t>
      </w:r>
    </w:p>
    <w:p w14:paraId="21CB1685">
      <w:pPr>
        <w:spacing w:line="360" w:lineRule="auto"/>
        <w:jc w:val="right"/>
        <w:rPr>
          <w:rFonts w:hint="eastAsia" w:ascii="仿宋" w:hAnsi="仿宋" w:eastAsia="仿宋" w:cs="仿宋"/>
          <w:sz w:val="30"/>
          <w:szCs w:val="30"/>
        </w:rPr>
      </w:pPr>
    </w:p>
    <w:p w14:paraId="523B1BF2">
      <w:pPr>
        <w:outlineLvl w:val="1"/>
        <w:rPr>
          <w:rFonts w:hint="eastAsia" w:ascii="仿宋" w:hAnsi="仿宋" w:eastAsia="仿宋" w:cs="仿宋"/>
          <w:bCs/>
          <w:sz w:val="30"/>
          <w:szCs w:val="30"/>
          <w:lang w:val="en-US" w:eastAsia="zh-CN"/>
        </w:rPr>
      </w:pPr>
      <w:r>
        <w:rPr>
          <w:rFonts w:hint="eastAsia" w:ascii="仿宋" w:hAnsi="仿宋" w:eastAsia="仿宋" w:cs="仿宋"/>
          <w:sz w:val="30"/>
          <w:szCs w:val="30"/>
        </w:rPr>
        <w:br w:type="page"/>
      </w:r>
      <w:bookmarkStart w:id="4" w:name="_Toc24273"/>
      <w:r>
        <w:rPr>
          <w:rFonts w:hint="eastAsia" w:ascii="仿宋" w:hAnsi="仿宋" w:eastAsia="仿宋" w:cs="仿宋"/>
          <w:b/>
          <w:sz w:val="30"/>
          <w:szCs w:val="30"/>
          <w:lang w:val="zh-CN"/>
        </w:rPr>
        <w:t>3、报价</w:t>
      </w:r>
      <w:bookmarkEnd w:id="4"/>
      <w:r>
        <w:rPr>
          <w:rFonts w:hint="eastAsia" w:ascii="仿宋" w:hAnsi="仿宋" w:eastAsia="仿宋" w:cs="仿宋"/>
          <w:b/>
          <w:sz w:val="30"/>
          <w:szCs w:val="30"/>
          <w:lang w:val="en-US" w:eastAsia="zh-CN"/>
        </w:rPr>
        <w:t>函</w:t>
      </w:r>
    </w:p>
    <w:p w14:paraId="3D991E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致  ：西昌民族幼儿师范高等专科学校</w:t>
      </w:r>
    </w:p>
    <w:p w14:paraId="7750F4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p>
    <w:p w14:paraId="695863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我公司仔细研究了竞争性磋商文件和学校常年法律顾问服务采购项目的基本情况，根据本公司的实际情况，本公司报价为：</w:t>
      </w:r>
    </w:p>
    <w:p w14:paraId="02FA5D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zh-CN" w:eastAsia="zh-CN"/>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lang w:val="zh-CN" w:eastAsia="zh-CN"/>
        </w:rPr>
        <w:t>______</w:t>
      </w:r>
      <w:r>
        <w:rPr>
          <w:rFonts w:hint="eastAsia" w:ascii="仿宋" w:hAnsi="仿宋" w:eastAsia="仿宋" w:cs="仿宋"/>
          <w:b w:val="0"/>
          <w:bCs/>
          <w:sz w:val="32"/>
          <w:szCs w:val="32"/>
          <w:lang w:val="en-US" w:eastAsia="zh-CN"/>
        </w:rPr>
        <w:t>元</w:t>
      </w:r>
      <w:r>
        <w:rPr>
          <w:rFonts w:hint="eastAsia" w:ascii="仿宋" w:hAnsi="仿宋" w:eastAsia="仿宋" w:cs="仿宋"/>
          <w:b w:val="0"/>
          <w:bCs/>
          <w:sz w:val="32"/>
          <w:szCs w:val="32"/>
          <w:lang w:val="zh-CN" w:eastAsia="zh-CN"/>
        </w:rPr>
        <w:t>。</w:t>
      </w:r>
    </w:p>
    <w:p w14:paraId="52D8AE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lang w:val="zh-CN" w:eastAsia="zh-CN"/>
        </w:rPr>
        <w:t>、</w:t>
      </w:r>
      <w:r>
        <w:rPr>
          <w:rFonts w:hint="eastAsia" w:ascii="仿宋" w:hAnsi="仿宋" w:eastAsia="仿宋" w:cs="仿宋"/>
          <w:b w:val="0"/>
          <w:bCs/>
          <w:sz w:val="32"/>
          <w:szCs w:val="32"/>
          <w:lang w:val="en-US" w:eastAsia="zh-CN"/>
        </w:rPr>
        <w:t>服务过程中产生的所有费用均包含在服务费中，不另行收取；</w:t>
      </w:r>
    </w:p>
    <w:p w14:paraId="36DF2B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p>
    <w:p w14:paraId="3D7EA3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供应商：       （全称并加盖单位公章）</w:t>
      </w:r>
    </w:p>
    <w:p w14:paraId="028BEB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法定代表人或委托代理人：        （签字或盖章）</w:t>
      </w:r>
    </w:p>
    <w:p w14:paraId="3596C0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日期：    年  月  日</w:t>
      </w:r>
    </w:p>
    <w:p w14:paraId="020B25F2">
      <w:pPr>
        <w:spacing w:line="360" w:lineRule="auto"/>
        <w:rPr>
          <w:rFonts w:hint="eastAsia" w:ascii="仿宋" w:hAnsi="仿宋" w:eastAsia="仿宋" w:cs="仿宋"/>
          <w:sz w:val="30"/>
          <w:szCs w:val="30"/>
        </w:rPr>
      </w:pPr>
    </w:p>
    <w:p w14:paraId="671548C9">
      <w:pPr>
        <w:outlineLvl w:val="1"/>
        <w:rPr>
          <w:rFonts w:hint="eastAsia" w:ascii="仿宋" w:hAnsi="仿宋" w:eastAsia="仿宋" w:cs="仿宋"/>
          <w:bCs/>
          <w:sz w:val="30"/>
          <w:szCs w:val="30"/>
          <w:lang w:val="zh-CN"/>
        </w:rPr>
      </w:pPr>
      <w:r>
        <w:rPr>
          <w:rFonts w:hint="eastAsia" w:ascii="仿宋" w:hAnsi="仿宋" w:eastAsia="仿宋" w:cs="仿宋"/>
          <w:kern w:val="0"/>
          <w:sz w:val="30"/>
          <w:szCs w:val="30"/>
          <w:lang w:val="zh-CN"/>
        </w:rPr>
        <w:br w:type="page"/>
      </w:r>
      <w:bookmarkStart w:id="5" w:name="_Toc20065"/>
      <w:r>
        <w:rPr>
          <w:rFonts w:hint="eastAsia" w:ascii="仿宋" w:hAnsi="仿宋" w:eastAsia="仿宋" w:cs="仿宋"/>
          <w:b/>
          <w:sz w:val="30"/>
          <w:szCs w:val="30"/>
          <w:lang w:val="zh-CN"/>
        </w:rPr>
        <w:t>4、</w:t>
      </w:r>
      <w:r>
        <w:rPr>
          <w:rFonts w:hint="eastAsia" w:ascii="仿宋" w:hAnsi="仿宋" w:eastAsia="仿宋" w:cs="仿宋"/>
          <w:b/>
          <w:sz w:val="30"/>
          <w:szCs w:val="30"/>
          <w:lang w:val="en-US" w:eastAsia="zh-CN"/>
        </w:rPr>
        <w:t>供应商</w:t>
      </w:r>
      <w:r>
        <w:rPr>
          <w:rFonts w:hint="eastAsia" w:ascii="仿宋" w:hAnsi="仿宋" w:eastAsia="仿宋" w:cs="仿宋"/>
          <w:b/>
          <w:sz w:val="30"/>
          <w:szCs w:val="30"/>
          <w:lang w:val="zh-CN"/>
        </w:rPr>
        <w:t>组织机构简介（格式自拟）</w:t>
      </w:r>
      <w:bookmarkEnd w:id="5"/>
    </w:p>
    <w:p w14:paraId="6E77FD6C">
      <w:pPr>
        <w:outlineLvl w:val="1"/>
        <w:rPr>
          <w:rFonts w:hint="eastAsia" w:ascii="仿宋" w:hAnsi="仿宋" w:eastAsia="仿宋" w:cs="仿宋"/>
          <w:bCs/>
          <w:sz w:val="30"/>
          <w:szCs w:val="30"/>
        </w:rPr>
      </w:pPr>
      <w:r>
        <w:rPr>
          <w:rFonts w:hint="eastAsia" w:ascii="仿宋" w:hAnsi="仿宋" w:eastAsia="仿宋" w:cs="仿宋"/>
          <w:bCs/>
          <w:sz w:val="30"/>
          <w:szCs w:val="30"/>
        </w:rPr>
        <w:br w:type="page"/>
      </w:r>
      <w:bookmarkStart w:id="6" w:name="_Toc27851"/>
      <w:r>
        <w:rPr>
          <w:rFonts w:hint="eastAsia" w:ascii="仿宋" w:hAnsi="仿宋" w:eastAsia="仿宋" w:cs="仿宋"/>
          <w:b/>
          <w:sz w:val="30"/>
          <w:szCs w:val="30"/>
          <w:lang w:val="zh-CN"/>
        </w:rPr>
        <w:t>5、</w:t>
      </w:r>
      <w:r>
        <w:rPr>
          <w:rFonts w:hint="eastAsia" w:ascii="仿宋" w:hAnsi="仿宋" w:eastAsia="仿宋" w:cs="仿宋"/>
          <w:b/>
          <w:sz w:val="30"/>
          <w:szCs w:val="30"/>
          <w:lang w:val="en-US" w:eastAsia="zh-CN"/>
        </w:rPr>
        <w:t>供应商</w:t>
      </w:r>
      <w:r>
        <w:rPr>
          <w:rFonts w:hint="eastAsia" w:ascii="仿宋" w:hAnsi="仿宋" w:eastAsia="仿宋" w:cs="仿宋"/>
          <w:b/>
          <w:sz w:val="30"/>
          <w:szCs w:val="30"/>
          <w:lang w:val="zh-CN"/>
        </w:rPr>
        <w:t>资格信息及证明文件</w:t>
      </w:r>
      <w:bookmarkEnd w:id="6"/>
    </w:p>
    <w:p w14:paraId="0ABDCCDC">
      <w:pPr>
        <w:outlineLvl w:val="1"/>
        <w:rPr>
          <w:rFonts w:hint="eastAsia" w:ascii="仿宋" w:hAnsi="仿宋" w:eastAsia="仿宋" w:cs="仿宋"/>
          <w:bCs/>
          <w:sz w:val="30"/>
          <w:szCs w:val="30"/>
        </w:rPr>
      </w:pPr>
      <w:bookmarkStart w:id="7" w:name="_Toc8773"/>
      <w:r>
        <w:rPr>
          <w:rFonts w:hint="eastAsia" w:ascii="仿宋" w:hAnsi="仿宋" w:eastAsia="仿宋" w:cs="仿宋"/>
          <w:bCs/>
          <w:sz w:val="30"/>
          <w:szCs w:val="30"/>
        </w:rPr>
        <w:br w:type="column"/>
      </w:r>
      <w:r>
        <w:rPr>
          <w:rFonts w:hint="eastAsia" w:ascii="仿宋" w:hAnsi="仿宋" w:eastAsia="仿宋" w:cs="仿宋"/>
          <w:b/>
          <w:sz w:val="30"/>
          <w:szCs w:val="30"/>
        </w:rPr>
        <w:t>6</w:t>
      </w:r>
      <w:r>
        <w:rPr>
          <w:rFonts w:hint="eastAsia" w:ascii="仿宋" w:hAnsi="仿宋" w:eastAsia="仿宋" w:cs="仿宋"/>
          <w:b/>
          <w:sz w:val="30"/>
          <w:szCs w:val="30"/>
          <w:lang w:val="zh-CN"/>
        </w:rPr>
        <w:t>、</w:t>
      </w:r>
      <w:bookmarkEnd w:id="7"/>
      <w:r>
        <w:rPr>
          <w:rFonts w:hint="eastAsia" w:ascii="仿宋" w:hAnsi="仿宋" w:eastAsia="仿宋" w:cs="仿宋"/>
          <w:b/>
          <w:sz w:val="30"/>
          <w:szCs w:val="30"/>
        </w:rPr>
        <w:t>服务方案</w:t>
      </w:r>
    </w:p>
    <w:p w14:paraId="3BCAF8AB">
      <w:pPr>
        <w:ind w:firstLine="600" w:firstLineChars="200"/>
        <w:rPr>
          <w:rFonts w:hint="eastAsia" w:ascii="仿宋" w:hAnsi="仿宋" w:eastAsia="仿宋" w:cs="仿宋"/>
          <w:sz w:val="30"/>
          <w:szCs w:val="30"/>
        </w:rPr>
      </w:pPr>
    </w:p>
    <w:p w14:paraId="39FDA47A">
      <w:pPr>
        <w:rPr>
          <w:rFonts w:hint="eastAsia" w:ascii="仿宋" w:hAnsi="仿宋" w:eastAsia="仿宋" w:cs="仿宋"/>
          <w:b/>
          <w:kern w:val="0"/>
          <w:sz w:val="30"/>
          <w:szCs w:val="30"/>
          <w:lang w:val="zh-CN"/>
        </w:rPr>
      </w:pPr>
    </w:p>
    <w:p w14:paraId="273BC693">
      <w:pPr>
        <w:outlineLvl w:val="1"/>
        <w:rPr>
          <w:rFonts w:hint="eastAsia" w:ascii="仿宋" w:hAnsi="仿宋" w:eastAsia="仿宋" w:cs="仿宋"/>
          <w:bCs/>
          <w:kern w:val="0"/>
          <w:sz w:val="30"/>
          <w:szCs w:val="30"/>
          <w:lang w:val="zh-CN"/>
        </w:rPr>
      </w:pPr>
      <w:r>
        <w:rPr>
          <w:rFonts w:hint="eastAsia" w:ascii="仿宋" w:hAnsi="仿宋" w:eastAsia="仿宋" w:cs="仿宋"/>
          <w:b/>
          <w:kern w:val="0"/>
          <w:sz w:val="30"/>
          <w:szCs w:val="30"/>
          <w:lang w:val="zh-CN"/>
        </w:rPr>
        <w:br w:type="page"/>
      </w:r>
      <w:bookmarkStart w:id="8" w:name="_Toc25895"/>
      <w:r>
        <w:rPr>
          <w:rFonts w:hint="eastAsia" w:ascii="仿宋" w:hAnsi="仿宋" w:eastAsia="仿宋" w:cs="仿宋"/>
          <w:b/>
          <w:sz w:val="30"/>
          <w:szCs w:val="30"/>
        </w:rPr>
        <w:t>7</w:t>
      </w:r>
      <w:r>
        <w:rPr>
          <w:rFonts w:hint="eastAsia" w:ascii="仿宋" w:hAnsi="仿宋" w:eastAsia="仿宋" w:cs="仿宋"/>
          <w:b/>
          <w:sz w:val="30"/>
          <w:szCs w:val="30"/>
          <w:lang w:val="zh-CN"/>
        </w:rPr>
        <w:t>、其他需要提供的内容</w:t>
      </w:r>
      <w:bookmarkEnd w:id="8"/>
    </w:p>
    <w:p w14:paraId="1E00ED02">
      <w:pPr>
        <w:pStyle w:val="6"/>
        <w:ind w:firstLine="602" w:firstLineChars="200"/>
        <w:rPr>
          <w:rFonts w:hint="eastAsia" w:ascii="仿宋" w:hAnsi="仿宋" w:eastAsia="仿宋" w:cs="仿宋"/>
          <w:b/>
          <w:sz w:val="30"/>
          <w:szCs w:val="30"/>
        </w:rPr>
      </w:pPr>
    </w:p>
    <w:p w14:paraId="3A4DDAA4">
      <w:pPr>
        <w:pStyle w:val="2"/>
        <w:jc w:val="center"/>
        <w:rPr>
          <w:rFonts w:hint="eastAsia" w:ascii="仿宋" w:hAnsi="仿宋" w:eastAsia="仿宋" w:cs="仿宋"/>
          <w:kern w:val="0"/>
          <w:sz w:val="30"/>
          <w:szCs w:val="30"/>
          <w:lang w:val="zh-CN"/>
        </w:rPr>
      </w:pPr>
      <w:r>
        <w:rPr>
          <w:rFonts w:hint="eastAsia" w:ascii="仿宋" w:hAnsi="仿宋" w:eastAsia="仿宋" w:cs="仿宋"/>
          <w:kern w:val="0"/>
          <w:sz w:val="30"/>
          <w:szCs w:val="30"/>
          <w:lang w:val="zh-CN"/>
        </w:rPr>
        <w:br w:type="page"/>
      </w:r>
      <w:bookmarkStart w:id="9" w:name="_Toc10060"/>
      <w:r>
        <w:rPr>
          <w:rFonts w:hint="eastAsia" w:ascii="仿宋" w:hAnsi="仿宋" w:eastAsia="仿宋" w:cs="仿宋"/>
          <w:sz w:val="30"/>
          <w:szCs w:val="30"/>
          <w:lang w:val="zh-CN"/>
        </w:rPr>
        <w:t>第四部分 评审办法及标准</w:t>
      </w:r>
      <w:bookmarkEnd w:id="9"/>
    </w:p>
    <w:p w14:paraId="1F6BCA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zh-CN" w:eastAsia="zh-CN"/>
        </w:rPr>
      </w:pPr>
      <w:r>
        <w:rPr>
          <w:rFonts w:hint="eastAsia" w:ascii="仿宋" w:hAnsi="仿宋" w:eastAsia="仿宋" w:cs="仿宋"/>
          <w:b w:val="0"/>
          <w:bCs/>
          <w:sz w:val="32"/>
          <w:szCs w:val="32"/>
          <w:lang w:val="zh-CN" w:eastAsia="zh-CN"/>
        </w:rPr>
        <w:t>一、评审办法</w:t>
      </w:r>
    </w:p>
    <w:p w14:paraId="22B5A8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本项目采用综合评分法。首先由评审小组对竞标人进行资格审查，然后对通过资格审查的竞标人进行打分，最后按综合得分高低推荐中标候选人。</w:t>
      </w:r>
    </w:p>
    <w:p w14:paraId="448401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zh-CN" w:eastAsia="zh-CN"/>
        </w:rPr>
      </w:pPr>
      <w:r>
        <w:rPr>
          <w:rFonts w:hint="eastAsia" w:ascii="仿宋" w:hAnsi="仿宋" w:eastAsia="仿宋" w:cs="仿宋"/>
          <w:b w:val="0"/>
          <w:bCs/>
          <w:sz w:val="32"/>
          <w:szCs w:val="32"/>
          <w:lang w:val="zh-CN" w:eastAsia="zh-CN"/>
        </w:rPr>
        <w:t>二、</w:t>
      </w:r>
      <w:r>
        <w:rPr>
          <w:rFonts w:hint="eastAsia" w:ascii="仿宋" w:hAnsi="仿宋" w:eastAsia="仿宋" w:cs="仿宋"/>
          <w:b w:val="0"/>
          <w:bCs/>
          <w:sz w:val="32"/>
          <w:szCs w:val="32"/>
          <w:lang w:val="en-US" w:eastAsia="zh-CN"/>
        </w:rPr>
        <w:t>资格</w:t>
      </w:r>
      <w:r>
        <w:rPr>
          <w:rFonts w:hint="eastAsia" w:ascii="仿宋" w:hAnsi="仿宋" w:eastAsia="仿宋" w:cs="仿宋"/>
          <w:b w:val="0"/>
          <w:bCs/>
          <w:sz w:val="32"/>
          <w:szCs w:val="32"/>
          <w:lang w:val="zh-CN" w:eastAsia="zh-CN"/>
        </w:rPr>
        <w:t>审查</w:t>
      </w:r>
    </w:p>
    <w:p w14:paraId="2308F7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竞标人须通过每一项审查，才能进入评分环节。其中任何一项不合格，则其资格审查不合格。</w:t>
      </w:r>
    </w:p>
    <w:p w14:paraId="75E90F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资格审查内容：</w:t>
      </w:r>
    </w:p>
    <w:p w14:paraId="737D35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提供营业执照副本复印件（注：①在有效期内；②复印件加盖公章）；组织机构代码证副本复印件（注：①发证机关有年检要求的，应按规定通过年检；②在有效期内；③复印件加盖公章）；税务登记证副本复印件（注：①在有效期内；②复印件加盖公章）；</w:t>
      </w:r>
    </w:p>
    <w:p w14:paraId="049145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注：企业若已更换为三证合一的则提供营业执照副本复印件。</w:t>
      </w:r>
    </w:p>
    <w:p w14:paraId="2D49B0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w:t>
      </w:r>
      <w:r>
        <w:rPr>
          <w:rFonts w:hint="eastAsia" w:ascii="仿宋" w:hAnsi="仿宋" w:eastAsia="仿宋" w:cs="仿宋"/>
          <w:i w:val="0"/>
          <w:iCs w:val="0"/>
          <w:caps w:val="0"/>
          <w:color w:val="000000"/>
          <w:spacing w:val="0"/>
          <w:kern w:val="2"/>
          <w:sz w:val="32"/>
          <w:szCs w:val="32"/>
          <w:shd w:val="clear" w:color="auto" w:fill="FFFFFF"/>
          <w:lang w:val="en-US" w:eastAsia="zh-CN" w:bidi="ar-SA"/>
        </w:rPr>
        <w:t>具有年检合格的《律师事务所执业许可证》（提供有效证书复印件并加盖供应商公章）；</w:t>
      </w:r>
    </w:p>
    <w:p w14:paraId="3CEEF5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3、参加本次采购活动前三年内，在经营活动中没有重大违法记录（提供承诺函）；</w:t>
      </w:r>
    </w:p>
    <w:p w14:paraId="3B348C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4、是否联合体参与竞标。</w:t>
      </w:r>
    </w:p>
    <w:p w14:paraId="3CCF4E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5、具有履行合同所必需的场地、设备和专业技术能力（提供承诺函）。</w:t>
      </w:r>
    </w:p>
    <w:p w14:paraId="7488CF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zh-CN" w:eastAsia="zh-CN"/>
        </w:rPr>
      </w:pPr>
      <w:r>
        <w:rPr>
          <w:rFonts w:hint="eastAsia" w:ascii="仿宋" w:hAnsi="仿宋" w:eastAsia="仿宋" w:cs="仿宋"/>
          <w:b w:val="0"/>
          <w:bCs/>
          <w:sz w:val="32"/>
          <w:szCs w:val="32"/>
          <w:lang w:val="en-US" w:eastAsia="zh-CN"/>
        </w:rPr>
        <w:t>6、具有良好的商业信誉和健全的财务会计制度（提供承诺函）。</w:t>
      </w:r>
    </w:p>
    <w:p w14:paraId="378231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zh-CN" w:eastAsia="zh-CN"/>
        </w:rPr>
      </w:pPr>
      <w:r>
        <w:rPr>
          <w:rFonts w:hint="eastAsia" w:ascii="仿宋" w:hAnsi="仿宋" w:eastAsia="仿宋" w:cs="仿宋"/>
          <w:b w:val="0"/>
          <w:bCs/>
          <w:sz w:val="32"/>
          <w:szCs w:val="32"/>
          <w:lang w:val="zh-CN" w:eastAsia="zh-CN"/>
        </w:rPr>
        <w:t>三、详细评审</w:t>
      </w:r>
    </w:p>
    <w:p w14:paraId="29BCF9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评审委员会对通过初步审查的响应文件进行详细评审和打分，各位评委得分的汇总分值为竞标人的最终得分。</w:t>
      </w:r>
    </w:p>
    <w:p w14:paraId="21EC5BA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评分标准如下：</w:t>
      </w:r>
    </w:p>
    <w:p w14:paraId="371E2F0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b/>
          <w:bCs/>
          <w:i w:val="0"/>
          <w:iCs w:val="0"/>
          <w:caps w:val="0"/>
          <w:color w:val="000000"/>
          <w:spacing w:val="0"/>
          <w:kern w:val="0"/>
          <w:sz w:val="28"/>
          <w:szCs w:val="28"/>
          <w:shd w:val="clear" w:color="auto" w:fill="FFFFFF"/>
          <w:lang w:val="en-US" w:eastAsia="zh-CN" w:bidi="ar"/>
        </w:rPr>
        <w:t>综合评分表</w:t>
      </w:r>
    </w:p>
    <w:p w14:paraId="07589B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sz w:val="32"/>
          <w:szCs w:val="32"/>
          <w:lang w:val="en-US" w:eastAsia="zh-CN"/>
        </w:rPr>
      </w:pPr>
    </w:p>
    <w:tbl>
      <w:tblPr>
        <w:tblStyle w:val="1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661"/>
        <w:gridCol w:w="2575"/>
        <w:gridCol w:w="831"/>
        <w:gridCol w:w="748"/>
        <w:gridCol w:w="1661"/>
      </w:tblGrid>
      <w:tr w14:paraId="7D5A64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2" w:type="dxa"/>
            <w:gridSpan w:val="2"/>
            <w:noWrap w:val="0"/>
            <w:vAlign w:val="top"/>
          </w:tcPr>
          <w:p w14:paraId="2CFFEB3F">
            <w:pPr>
              <w:pStyle w:val="31"/>
              <w:jc w:val="center"/>
              <w:rPr>
                <w:rFonts w:hint="eastAsia" w:ascii="仿宋" w:hAnsi="仿宋" w:eastAsia="仿宋" w:cs="仿宋"/>
              </w:rPr>
            </w:pPr>
            <w:r>
              <w:rPr>
                <w:rFonts w:hint="eastAsia" w:ascii="仿宋" w:hAnsi="仿宋" w:eastAsia="仿宋" w:cs="仿宋"/>
              </w:rPr>
              <w:t xml:space="preserve"> 评审因素</w:t>
            </w:r>
          </w:p>
        </w:tc>
        <w:tc>
          <w:tcPr>
            <w:tcW w:w="5815" w:type="dxa"/>
            <w:gridSpan w:val="4"/>
            <w:noWrap w:val="0"/>
            <w:vAlign w:val="top"/>
          </w:tcPr>
          <w:p w14:paraId="6CD54ACB">
            <w:pPr>
              <w:pStyle w:val="31"/>
              <w:jc w:val="center"/>
              <w:rPr>
                <w:rFonts w:hint="eastAsia" w:ascii="仿宋" w:hAnsi="仿宋" w:eastAsia="仿宋" w:cs="仿宋"/>
              </w:rPr>
            </w:pPr>
            <w:r>
              <w:rPr>
                <w:rFonts w:hint="eastAsia" w:ascii="仿宋" w:hAnsi="仿宋" w:eastAsia="仿宋" w:cs="仿宋"/>
              </w:rPr>
              <w:t xml:space="preserve"> 评审标准</w:t>
            </w:r>
          </w:p>
        </w:tc>
      </w:tr>
      <w:tr w14:paraId="0AE56D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2" w:type="dxa"/>
            <w:gridSpan w:val="2"/>
            <w:noWrap w:val="0"/>
            <w:vAlign w:val="top"/>
          </w:tcPr>
          <w:p w14:paraId="1536AB2C">
            <w:pPr>
              <w:pStyle w:val="31"/>
              <w:jc w:val="center"/>
              <w:rPr>
                <w:rFonts w:hint="eastAsia" w:ascii="仿宋" w:hAnsi="仿宋" w:eastAsia="仿宋" w:cs="仿宋"/>
              </w:rPr>
            </w:pPr>
            <w:r>
              <w:rPr>
                <w:rFonts w:hint="eastAsia" w:ascii="仿宋" w:hAnsi="仿宋" w:eastAsia="仿宋" w:cs="仿宋"/>
              </w:rPr>
              <w:t xml:space="preserve"> 分值构成</w:t>
            </w:r>
          </w:p>
        </w:tc>
        <w:tc>
          <w:tcPr>
            <w:tcW w:w="5815" w:type="dxa"/>
            <w:gridSpan w:val="4"/>
            <w:noWrap w:val="0"/>
            <w:vAlign w:val="top"/>
          </w:tcPr>
          <w:p w14:paraId="3ABFB772">
            <w:pPr>
              <w:pStyle w:val="31"/>
              <w:jc w:val="left"/>
              <w:rPr>
                <w:rFonts w:hint="eastAsia" w:ascii="仿宋" w:hAnsi="仿宋" w:eastAsia="仿宋" w:cs="仿宋"/>
              </w:rPr>
            </w:pPr>
            <w:r>
              <w:rPr>
                <w:rFonts w:hint="eastAsia" w:ascii="仿宋" w:hAnsi="仿宋" w:eastAsia="仿宋" w:cs="仿宋"/>
              </w:rPr>
              <w:t>详细评审</w:t>
            </w:r>
            <w:r>
              <w:rPr>
                <w:rFonts w:hint="eastAsia" w:ascii="仿宋" w:hAnsi="仿宋" w:eastAsia="仿宋" w:cs="仿宋"/>
                <w:lang w:val="en-US" w:eastAsia="zh-CN"/>
              </w:rPr>
              <w:t>70</w:t>
            </w:r>
            <w:r>
              <w:rPr>
                <w:rFonts w:hint="eastAsia" w:ascii="仿宋" w:hAnsi="仿宋" w:eastAsia="仿宋" w:cs="仿宋"/>
              </w:rPr>
              <w:t>.00分</w:t>
            </w:r>
          </w:p>
          <w:p w14:paraId="0363A539">
            <w:pPr>
              <w:pStyle w:val="31"/>
              <w:jc w:val="left"/>
              <w:rPr>
                <w:rFonts w:hint="eastAsia" w:ascii="仿宋" w:hAnsi="仿宋" w:eastAsia="仿宋" w:cs="仿宋"/>
              </w:rPr>
            </w:pPr>
            <w:r>
              <w:rPr>
                <w:rFonts w:hint="eastAsia" w:ascii="仿宋" w:hAnsi="仿宋" w:eastAsia="仿宋" w:cs="仿宋"/>
              </w:rPr>
              <w:t>报价得分</w:t>
            </w:r>
            <w:r>
              <w:rPr>
                <w:rFonts w:hint="eastAsia" w:ascii="仿宋" w:hAnsi="仿宋" w:eastAsia="仿宋" w:cs="仿宋"/>
                <w:lang w:val="en-US" w:eastAsia="zh-CN"/>
              </w:rPr>
              <w:t>30</w:t>
            </w:r>
            <w:r>
              <w:rPr>
                <w:rFonts w:hint="eastAsia" w:ascii="仿宋" w:hAnsi="仿宋" w:eastAsia="仿宋" w:cs="仿宋"/>
              </w:rPr>
              <w:t>.00分</w:t>
            </w:r>
          </w:p>
        </w:tc>
      </w:tr>
      <w:tr w14:paraId="711240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noWrap w:val="0"/>
            <w:vAlign w:val="top"/>
          </w:tcPr>
          <w:p w14:paraId="2A2333FD">
            <w:pPr>
              <w:pStyle w:val="31"/>
              <w:jc w:val="center"/>
              <w:rPr>
                <w:rFonts w:hint="eastAsia" w:ascii="仿宋" w:hAnsi="仿宋" w:eastAsia="仿宋" w:cs="仿宋"/>
              </w:rPr>
            </w:pPr>
            <w:r>
              <w:rPr>
                <w:rFonts w:hint="eastAsia" w:ascii="仿宋" w:hAnsi="仿宋" w:eastAsia="仿宋" w:cs="仿宋"/>
              </w:rPr>
              <w:t xml:space="preserve"> 评审因素分类</w:t>
            </w:r>
          </w:p>
        </w:tc>
        <w:tc>
          <w:tcPr>
            <w:tcW w:w="1661" w:type="dxa"/>
            <w:noWrap w:val="0"/>
            <w:vAlign w:val="top"/>
          </w:tcPr>
          <w:p w14:paraId="6760DFC4">
            <w:pPr>
              <w:pStyle w:val="31"/>
              <w:jc w:val="center"/>
              <w:rPr>
                <w:rFonts w:hint="eastAsia" w:ascii="仿宋" w:hAnsi="仿宋" w:eastAsia="仿宋" w:cs="仿宋"/>
              </w:rPr>
            </w:pPr>
            <w:r>
              <w:rPr>
                <w:rFonts w:hint="eastAsia" w:ascii="仿宋" w:hAnsi="仿宋" w:eastAsia="仿宋" w:cs="仿宋"/>
              </w:rPr>
              <w:t xml:space="preserve"> 评审内容</w:t>
            </w:r>
          </w:p>
        </w:tc>
        <w:tc>
          <w:tcPr>
            <w:tcW w:w="2575" w:type="dxa"/>
            <w:noWrap w:val="0"/>
            <w:vAlign w:val="top"/>
          </w:tcPr>
          <w:p w14:paraId="3106653B">
            <w:pPr>
              <w:pStyle w:val="31"/>
              <w:jc w:val="center"/>
              <w:rPr>
                <w:rFonts w:hint="eastAsia" w:ascii="仿宋" w:hAnsi="仿宋" w:eastAsia="仿宋" w:cs="仿宋"/>
              </w:rPr>
            </w:pPr>
            <w:r>
              <w:rPr>
                <w:rFonts w:hint="eastAsia" w:ascii="仿宋" w:hAnsi="仿宋" w:eastAsia="仿宋" w:cs="仿宋"/>
              </w:rPr>
              <w:t xml:space="preserve"> 具体标准和要求</w:t>
            </w:r>
          </w:p>
        </w:tc>
        <w:tc>
          <w:tcPr>
            <w:tcW w:w="831" w:type="dxa"/>
            <w:noWrap w:val="0"/>
            <w:vAlign w:val="top"/>
          </w:tcPr>
          <w:p w14:paraId="12933F6E">
            <w:pPr>
              <w:pStyle w:val="31"/>
              <w:jc w:val="center"/>
              <w:rPr>
                <w:rFonts w:hint="eastAsia" w:ascii="仿宋" w:hAnsi="仿宋" w:eastAsia="仿宋" w:cs="仿宋"/>
              </w:rPr>
            </w:pPr>
            <w:r>
              <w:rPr>
                <w:rFonts w:hint="eastAsia" w:ascii="仿宋" w:hAnsi="仿宋" w:eastAsia="仿宋" w:cs="仿宋"/>
                <w:b/>
              </w:rPr>
              <w:t xml:space="preserve"> 评审分值</w:t>
            </w:r>
          </w:p>
        </w:tc>
        <w:tc>
          <w:tcPr>
            <w:tcW w:w="748" w:type="dxa"/>
            <w:noWrap w:val="0"/>
            <w:vAlign w:val="top"/>
          </w:tcPr>
          <w:p w14:paraId="3A9ACE24">
            <w:pPr>
              <w:pStyle w:val="31"/>
              <w:jc w:val="center"/>
              <w:rPr>
                <w:rFonts w:hint="eastAsia" w:ascii="仿宋" w:hAnsi="仿宋" w:eastAsia="仿宋" w:cs="仿宋"/>
              </w:rPr>
            </w:pPr>
            <w:r>
              <w:rPr>
                <w:rFonts w:hint="eastAsia" w:ascii="仿宋" w:hAnsi="仿宋" w:eastAsia="仿宋" w:cs="仿宋"/>
              </w:rPr>
              <w:t xml:space="preserve"> 客观/主观</w:t>
            </w:r>
          </w:p>
        </w:tc>
        <w:tc>
          <w:tcPr>
            <w:tcW w:w="1661" w:type="dxa"/>
            <w:noWrap w:val="0"/>
            <w:vAlign w:val="top"/>
          </w:tcPr>
          <w:p w14:paraId="776572BC">
            <w:pPr>
              <w:pStyle w:val="31"/>
              <w:jc w:val="center"/>
              <w:rPr>
                <w:rFonts w:hint="eastAsia" w:ascii="仿宋" w:hAnsi="仿宋" w:eastAsia="仿宋" w:cs="仿宋"/>
              </w:rPr>
            </w:pPr>
            <w:r>
              <w:rPr>
                <w:rFonts w:hint="eastAsia" w:ascii="仿宋" w:hAnsi="仿宋" w:eastAsia="仿宋" w:cs="仿宋"/>
                <w:b/>
              </w:rPr>
              <w:t xml:space="preserve"> 关联响应文件格式文本</w:t>
            </w:r>
          </w:p>
        </w:tc>
      </w:tr>
      <w:tr w14:paraId="6B2327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restart"/>
            <w:noWrap w:val="0"/>
            <w:vAlign w:val="top"/>
          </w:tcPr>
          <w:p w14:paraId="7F43FFF3">
            <w:pPr>
              <w:pStyle w:val="31"/>
              <w:jc w:val="left"/>
              <w:rPr>
                <w:rFonts w:hint="eastAsia" w:ascii="仿宋" w:hAnsi="仿宋" w:eastAsia="仿宋" w:cs="仿宋"/>
              </w:rPr>
            </w:pPr>
            <w:r>
              <w:rPr>
                <w:rFonts w:hint="eastAsia" w:ascii="仿宋" w:hAnsi="仿宋" w:eastAsia="仿宋" w:cs="仿宋"/>
              </w:rPr>
              <w:t>详细评审</w:t>
            </w:r>
          </w:p>
        </w:tc>
        <w:tc>
          <w:tcPr>
            <w:tcW w:w="1661" w:type="dxa"/>
            <w:noWrap w:val="0"/>
            <w:vAlign w:val="top"/>
          </w:tcPr>
          <w:p w14:paraId="45661A7F">
            <w:pPr>
              <w:pStyle w:val="31"/>
              <w:jc w:val="left"/>
              <w:rPr>
                <w:rFonts w:hint="eastAsia" w:ascii="仿宋" w:hAnsi="仿宋" w:eastAsia="仿宋" w:cs="仿宋"/>
              </w:rPr>
            </w:pPr>
            <w:r>
              <w:rPr>
                <w:rFonts w:hint="eastAsia" w:ascii="仿宋" w:hAnsi="仿宋" w:eastAsia="仿宋" w:cs="仿宋"/>
              </w:rPr>
              <w:t>案例分析</w:t>
            </w:r>
          </w:p>
        </w:tc>
        <w:tc>
          <w:tcPr>
            <w:tcW w:w="2575" w:type="dxa"/>
            <w:noWrap w:val="0"/>
            <w:vAlign w:val="top"/>
          </w:tcPr>
          <w:p w14:paraId="5EF39605">
            <w:pPr>
              <w:pStyle w:val="31"/>
              <w:jc w:val="left"/>
              <w:rPr>
                <w:rFonts w:hint="eastAsia" w:ascii="仿宋" w:hAnsi="仿宋" w:eastAsia="仿宋" w:cs="仿宋"/>
              </w:rPr>
            </w:pPr>
            <w:r>
              <w:rPr>
                <w:rFonts w:hint="eastAsia" w:ascii="仿宋" w:hAnsi="仿宋" w:eastAsia="仿宋" w:cs="仿宋"/>
              </w:rPr>
              <w:t>供应商根据服务对象和服务内容提供相应案例分析报告，包括但不限于：①法律关系 ②法律适用 ③证据收集 ④法律程序 ⑤法律</w:t>
            </w:r>
            <w:r>
              <w:rPr>
                <w:rFonts w:hint="eastAsia" w:ascii="仿宋" w:hAnsi="仿宋" w:eastAsia="仿宋" w:cs="仿宋"/>
                <w:color w:val="auto"/>
                <w:highlight w:val="none"/>
              </w:rPr>
              <w:t>效果（侧重从</w:t>
            </w:r>
            <w:r>
              <w:rPr>
                <w:rFonts w:hint="eastAsia" w:ascii="仿宋" w:hAnsi="仿宋" w:eastAsia="仿宋" w:cs="仿宋"/>
                <w:color w:val="auto"/>
                <w:highlight w:val="none"/>
                <w:lang w:val="en-US" w:eastAsia="zh-CN"/>
              </w:rPr>
              <w:t>学校依法治校</w:t>
            </w:r>
            <w:r>
              <w:rPr>
                <w:rFonts w:hint="eastAsia" w:ascii="仿宋" w:hAnsi="仿宋" w:eastAsia="仿宋" w:cs="仿宋"/>
                <w:color w:val="auto"/>
                <w:highlight w:val="none"/>
              </w:rPr>
              <w:t>层面考量问题）等</w:t>
            </w:r>
            <w:r>
              <w:rPr>
                <w:rFonts w:hint="eastAsia" w:ascii="仿宋" w:hAnsi="仿宋" w:eastAsia="仿宋" w:cs="仿宋"/>
              </w:rPr>
              <w:t>内容 。内容完全符合项目要求且详细、描述清晰、严谨且针对性强的得</w:t>
            </w:r>
            <w:r>
              <w:rPr>
                <w:rFonts w:hint="eastAsia" w:ascii="仿宋" w:hAnsi="仿宋" w:eastAsia="仿宋" w:cs="仿宋"/>
                <w:lang w:val="en-US" w:eastAsia="zh-CN"/>
              </w:rPr>
              <w:t>10</w:t>
            </w:r>
            <w:r>
              <w:rPr>
                <w:rFonts w:hint="eastAsia" w:ascii="仿宋" w:hAnsi="仿宋" w:eastAsia="仿宋" w:cs="仿宋"/>
              </w:rPr>
              <w:t>分；每缺一项内容扣</w:t>
            </w:r>
            <w:r>
              <w:rPr>
                <w:rFonts w:hint="eastAsia" w:ascii="仿宋" w:hAnsi="仿宋" w:eastAsia="仿宋" w:cs="仿宋"/>
                <w:lang w:val="en-US" w:eastAsia="zh-CN"/>
              </w:rPr>
              <w:t>2</w:t>
            </w:r>
            <w:r>
              <w:rPr>
                <w:rFonts w:hint="eastAsia" w:ascii="仿宋" w:hAnsi="仿宋" w:eastAsia="仿宋" w:cs="仿宋"/>
              </w:rPr>
              <w:t>分；每有一项内容存在不足或不能完全符合本项目要求的扣</w:t>
            </w:r>
            <w:r>
              <w:rPr>
                <w:rFonts w:hint="eastAsia" w:ascii="仿宋" w:hAnsi="仿宋" w:eastAsia="仿宋" w:cs="仿宋"/>
                <w:lang w:val="en-US" w:eastAsia="zh-CN"/>
              </w:rPr>
              <w:t>1</w:t>
            </w:r>
            <w:r>
              <w:rPr>
                <w:rFonts w:hint="eastAsia" w:ascii="仿宋" w:hAnsi="仿宋" w:eastAsia="仿宋" w:cs="仿宋"/>
              </w:rPr>
              <w:t>分，直至本项扣完为止。（注：内容存在不足或不能完全本项目要求指：方案内容不切合行业实际、不符合行业政策；或方案内容生搬硬造，与实际情况不符，存在偏差；或方案内容过于简略，存在与项目无关的文字内容；或内容不适用项目实际情况；或内容逻辑漏洞或原理错误；或方案中内容前后不一致、前后逻辑错误、涉及的规范及标准错误；或方案中存在地点区域错误，不符合项目实际情况等。）</w:t>
            </w:r>
          </w:p>
        </w:tc>
        <w:tc>
          <w:tcPr>
            <w:tcW w:w="831" w:type="dxa"/>
            <w:noWrap w:val="0"/>
            <w:vAlign w:val="top"/>
          </w:tcPr>
          <w:p w14:paraId="6F483049">
            <w:pPr>
              <w:pStyle w:val="31"/>
              <w:jc w:val="center"/>
              <w:rPr>
                <w:rFonts w:hint="eastAsia" w:ascii="仿宋" w:hAnsi="仿宋" w:eastAsia="仿宋" w:cs="仿宋"/>
              </w:rPr>
            </w:pPr>
            <w:r>
              <w:rPr>
                <w:rFonts w:hint="eastAsia" w:ascii="仿宋" w:hAnsi="仿宋" w:eastAsia="仿宋" w:cs="仿宋"/>
                <w:lang w:val="en-US" w:eastAsia="zh-CN"/>
              </w:rPr>
              <w:t>10</w:t>
            </w:r>
            <w:r>
              <w:rPr>
                <w:rFonts w:hint="eastAsia" w:ascii="仿宋" w:hAnsi="仿宋" w:eastAsia="仿宋" w:cs="仿宋"/>
              </w:rPr>
              <w:t>.00</w:t>
            </w:r>
          </w:p>
        </w:tc>
        <w:tc>
          <w:tcPr>
            <w:tcW w:w="748" w:type="dxa"/>
            <w:noWrap w:val="0"/>
            <w:vAlign w:val="top"/>
          </w:tcPr>
          <w:p w14:paraId="5034EC48">
            <w:pPr>
              <w:pStyle w:val="31"/>
              <w:jc w:val="center"/>
              <w:rPr>
                <w:rFonts w:hint="eastAsia" w:ascii="仿宋" w:hAnsi="仿宋" w:eastAsia="仿宋" w:cs="仿宋"/>
              </w:rPr>
            </w:pPr>
            <w:r>
              <w:rPr>
                <w:rFonts w:hint="eastAsia" w:ascii="仿宋" w:hAnsi="仿宋" w:eastAsia="仿宋" w:cs="仿宋"/>
              </w:rPr>
              <w:t>主观</w:t>
            </w:r>
          </w:p>
        </w:tc>
        <w:tc>
          <w:tcPr>
            <w:tcW w:w="1661" w:type="dxa"/>
            <w:noWrap w:val="0"/>
            <w:vAlign w:val="top"/>
          </w:tcPr>
          <w:p w14:paraId="24F17CB4">
            <w:pPr>
              <w:pStyle w:val="31"/>
              <w:jc w:val="left"/>
              <w:rPr>
                <w:rFonts w:hint="eastAsia" w:ascii="仿宋" w:hAnsi="仿宋" w:eastAsia="仿宋" w:cs="仿宋"/>
              </w:rPr>
            </w:pPr>
            <w:r>
              <w:rPr>
                <w:rFonts w:hint="eastAsia" w:ascii="仿宋" w:hAnsi="仿宋" w:eastAsia="仿宋" w:cs="仿宋"/>
              </w:rPr>
              <w:t>评审因素响应情况.docx</w:t>
            </w:r>
          </w:p>
        </w:tc>
      </w:tr>
      <w:tr w14:paraId="47952C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noWrap w:val="0"/>
            <w:vAlign w:val="top"/>
          </w:tcPr>
          <w:p w14:paraId="339F62FB">
            <w:pPr>
              <w:rPr>
                <w:rFonts w:hint="eastAsia" w:ascii="仿宋" w:hAnsi="仿宋" w:eastAsia="仿宋" w:cs="仿宋"/>
              </w:rPr>
            </w:pPr>
          </w:p>
        </w:tc>
        <w:tc>
          <w:tcPr>
            <w:tcW w:w="1661" w:type="dxa"/>
            <w:noWrap w:val="0"/>
            <w:vAlign w:val="top"/>
          </w:tcPr>
          <w:p w14:paraId="70718FE2">
            <w:pPr>
              <w:pStyle w:val="31"/>
              <w:jc w:val="left"/>
              <w:rPr>
                <w:rFonts w:hint="eastAsia" w:ascii="仿宋" w:hAnsi="仿宋" w:eastAsia="仿宋" w:cs="仿宋"/>
              </w:rPr>
            </w:pPr>
            <w:r>
              <w:rPr>
                <w:rFonts w:hint="eastAsia" w:ascii="仿宋" w:hAnsi="仿宋" w:eastAsia="仿宋" w:cs="仿宋"/>
              </w:rPr>
              <w:t>业绩</w:t>
            </w:r>
          </w:p>
        </w:tc>
        <w:tc>
          <w:tcPr>
            <w:tcW w:w="2575" w:type="dxa"/>
            <w:noWrap w:val="0"/>
            <w:vAlign w:val="top"/>
          </w:tcPr>
          <w:p w14:paraId="7AE4AC5D">
            <w:pPr>
              <w:pStyle w:val="31"/>
              <w:jc w:val="left"/>
              <w:rPr>
                <w:rFonts w:hint="eastAsia" w:ascii="仿宋" w:hAnsi="仿宋" w:eastAsia="仿宋" w:cs="仿宋"/>
                <w:highlight w:val="none"/>
              </w:rPr>
            </w:pPr>
            <w:r>
              <w:rPr>
                <w:rFonts w:hint="eastAsia" w:ascii="仿宋" w:hAnsi="仿宋" w:eastAsia="仿宋" w:cs="仿宋"/>
                <w:color w:val="auto"/>
                <w:highlight w:val="none"/>
              </w:rPr>
              <w:t>2022年1月1日以来供应商本单位担任县级及以上党委、政府</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学校</w:t>
            </w:r>
            <w:r>
              <w:rPr>
                <w:rFonts w:hint="eastAsia" w:ascii="仿宋" w:hAnsi="仿宋" w:eastAsia="仿宋" w:cs="仿宋"/>
                <w:color w:val="auto"/>
                <w:highlight w:val="none"/>
              </w:rPr>
              <w:t>法律服务项目业绩的</w:t>
            </w:r>
            <w:r>
              <w:rPr>
                <w:rFonts w:hint="eastAsia" w:ascii="仿宋" w:hAnsi="仿宋" w:eastAsia="仿宋" w:cs="仿宋"/>
                <w:highlight w:val="none"/>
              </w:rPr>
              <w:t>，每提供一个业绩得3分，本项最多得15分。 注：提供中标（成交）通知书或合同复印件并加盖供应商鲜章。</w:t>
            </w:r>
          </w:p>
        </w:tc>
        <w:tc>
          <w:tcPr>
            <w:tcW w:w="831" w:type="dxa"/>
            <w:noWrap w:val="0"/>
            <w:vAlign w:val="top"/>
          </w:tcPr>
          <w:p w14:paraId="487240C0">
            <w:pPr>
              <w:pStyle w:val="31"/>
              <w:jc w:val="center"/>
              <w:rPr>
                <w:rFonts w:hint="eastAsia" w:ascii="仿宋" w:hAnsi="仿宋" w:eastAsia="仿宋" w:cs="仿宋"/>
              </w:rPr>
            </w:pPr>
            <w:r>
              <w:rPr>
                <w:rFonts w:hint="eastAsia" w:ascii="仿宋" w:hAnsi="仿宋" w:eastAsia="仿宋" w:cs="仿宋"/>
              </w:rPr>
              <w:t>15.00</w:t>
            </w:r>
          </w:p>
        </w:tc>
        <w:tc>
          <w:tcPr>
            <w:tcW w:w="748" w:type="dxa"/>
            <w:noWrap w:val="0"/>
            <w:vAlign w:val="top"/>
          </w:tcPr>
          <w:p w14:paraId="04891B06">
            <w:pPr>
              <w:pStyle w:val="31"/>
              <w:jc w:val="center"/>
              <w:rPr>
                <w:rFonts w:hint="eastAsia" w:ascii="仿宋" w:hAnsi="仿宋" w:eastAsia="仿宋" w:cs="仿宋"/>
              </w:rPr>
            </w:pPr>
            <w:r>
              <w:rPr>
                <w:rFonts w:hint="eastAsia" w:ascii="仿宋" w:hAnsi="仿宋" w:eastAsia="仿宋" w:cs="仿宋"/>
              </w:rPr>
              <w:t>客观</w:t>
            </w:r>
          </w:p>
        </w:tc>
        <w:tc>
          <w:tcPr>
            <w:tcW w:w="1661" w:type="dxa"/>
            <w:noWrap w:val="0"/>
            <w:vAlign w:val="top"/>
          </w:tcPr>
          <w:p w14:paraId="372A07AC">
            <w:pPr>
              <w:pStyle w:val="31"/>
              <w:jc w:val="left"/>
              <w:rPr>
                <w:rFonts w:hint="eastAsia" w:ascii="仿宋" w:hAnsi="仿宋" w:eastAsia="仿宋" w:cs="仿宋"/>
              </w:rPr>
            </w:pPr>
            <w:r>
              <w:rPr>
                <w:rFonts w:hint="eastAsia" w:ascii="仿宋" w:hAnsi="仿宋" w:eastAsia="仿宋" w:cs="仿宋"/>
              </w:rPr>
              <w:t>评审因素响应情况.docx</w:t>
            </w:r>
          </w:p>
        </w:tc>
      </w:tr>
      <w:tr w14:paraId="68D983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noWrap w:val="0"/>
            <w:vAlign w:val="top"/>
          </w:tcPr>
          <w:p w14:paraId="2F42D22A">
            <w:pPr>
              <w:rPr>
                <w:rFonts w:hint="eastAsia" w:ascii="仿宋" w:hAnsi="仿宋" w:eastAsia="仿宋" w:cs="仿宋"/>
              </w:rPr>
            </w:pPr>
          </w:p>
        </w:tc>
        <w:tc>
          <w:tcPr>
            <w:tcW w:w="1661" w:type="dxa"/>
            <w:noWrap w:val="0"/>
            <w:vAlign w:val="top"/>
          </w:tcPr>
          <w:p w14:paraId="00E9AA64">
            <w:pPr>
              <w:pStyle w:val="31"/>
              <w:jc w:val="left"/>
              <w:rPr>
                <w:rFonts w:hint="eastAsia" w:ascii="仿宋" w:hAnsi="仿宋" w:eastAsia="仿宋" w:cs="仿宋"/>
              </w:rPr>
            </w:pPr>
            <w:r>
              <w:rPr>
                <w:rFonts w:hint="eastAsia" w:ascii="仿宋" w:hAnsi="仿宋" w:eastAsia="仿宋" w:cs="仿宋"/>
              </w:rPr>
              <w:t>人员</w:t>
            </w:r>
          </w:p>
        </w:tc>
        <w:tc>
          <w:tcPr>
            <w:tcW w:w="2575" w:type="dxa"/>
            <w:noWrap w:val="0"/>
            <w:vAlign w:val="top"/>
          </w:tcPr>
          <w:p w14:paraId="357A7CC0">
            <w:pPr>
              <w:pStyle w:val="31"/>
              <w:jc w:val="left"/>
              <w:rPr>
                <w:rFonts w:hint="eastAsia" w:ascii="仿宋" w:hAnsi="仿宋" w:eastAsia="仿宋" w:cs="仿宋"/>
                <w:highlight w:val="none"/>
              </w:rPr>
            </w:pPr>
            <w:r>
              <w:rPr>
                <w:rFonts w:hint="eastAsia" w:ascii="仿宋" w:hAnsi="仿宋" w:eastAsia="仿宋" w:cs="仿宋"/>
                <w:highlight w:val="none"/>
              </w:rPr>
              <w:t>1.指派律师在满足</w:t>
            </w:r>
            <w:r>
              <w:rPr>
                <w:rFonts w:hint="eastAsia" w:ascii="仿宋" w:hAnsi="仿宋" w:eastAsia="仿宋" w:cs="仿宋"/>
                <w:highlight w:val="none"/>
                <w:lang w:val="en-US" w:eastAsia="zh-CN"/>
              </w:rPr>
              <w:t>1</w:t>
            </w:r>
            <w:r>
              <w:rPr>
                <w:rFonts w:hint="eastAsia" w:ascii="仿宋" w:hAnsi="仿宋" w:eastAsia="仿宋" w:cs="仿宋"/>
                <w:highlight w:val="none"/>
              </w:rPr>
              <w:t>人的基础上，每增加1人加2分，本项最多得4分。（需提供律师执业证、身份证。）</w:t>
            </w:r>
            <w:r>
              <w:rPr>
                <w:rFonts w:hint="eastAsia" w:ascii="仿宋" w:hAnsi="仿宋" w:eastAsia="仿宋" w:cs="仿宋"/>
                <w:color w:val="92D050"/>
                <w:highlight w:val="none"/>
              </w:rPr>
              <w:t xml:space="preserve"> </w:t>
            </w:r>
            <w:r>
              <w:rPr>
                <w:rFonts w:hint="eastAsia" w:ascii="仿宋" w:hAnsi="仿宋" w:eastAsia="仿宋" w:cs="仿宋"/>
                <w:highlight w:val="none"/>
              </w:rPr>
              <w:t>2.拟担任本项目法律服务团队的律师，具有</w:t>
            </w:r>
            <w:r>
              <w:rPr>
                <w:rFonts w:hint="eastAsia" w:ascii="仿宋" w:hAnsi="仿宋" w:eastAsia="仿宋" w:cs="仿宋"/>
                <w:highlight w:val="none"/>
                <w:lang w:val="en-US" w:eastAsia="zh-CN"/>
              </w:rPr>
              <w:t>1</w:t>
            </w:r>
            <w:r>
              <w:rPr>
                <w:rFonts w:hint="eastAsia" w:ascii="仿宋" w:hAnsi="仿宋" w:eastAsia="仿宋" w:cs="仿宋"/>
                <w:highlight w:val="none"/>
              </w:rPr>
              <w:t>名及以上执业年限在</w:t>
            </w:r>
            <w:r>
              <w:rPr>
                <w:rFonts w:hint="eastAsia" w:ascii="仿宋" w:hAnsi="仿宋" w:eastAsia="仿宋" w:cs="仿宋"/>
                <w:highlight w:val="none"/>
                <w:lang w:val="en-US" w:eastAsia="zh-CN"/>
              </w:rPr>
              <w:t>10</w:t>
            </w:r>
            <w:r>
              <w:rPr>
                <w:rFonts w:hint="eastAsia" w:ascii="仿宋" w:hAnsi="仿宋" w:eastAsia="仿宋" w:cs="仿宋"/>
                <w:highlight w:val="none"/>
              </w:rPr>
              <w:t>年及以上的得6分；具有</w:t>
            </w:r>
            <w:r>
              <w:rPr>
                <w:rFonts w:hint="eastAsia" w:ascii="仿宋" w:hAnsi="仿宋" w:eastAsia="仿宋" w:cs="仿宋"/>
                <w:highlight w:val="none"/>
                <w:lang w:val="en-US" w:eastAsia="zh-CN"/>
              </w:rPr>
              <w:t>1</w:t>
            </w:r>
            <w:r>
              <w:rPr>
                <w:rFonts w:hint="eastAsia" w:ascii="仿宋" w:hAnsi="仿宋" w:eastAsia="仿宋" w:cs="仿宋"/>
                <w:highlight w:val="none"/>
              </w:rPr>
              <w:t>名及以上执业年限在5（含）-</w:t>
            </w:r>
            <w:r>
              <w:rPr>
                <w:rFonts w:hint="eastAsia" w:ascii="仿宋" w:hAnsi="仿宋" w:eastAsia="仿宋" w:cs="仿宋"/>
                <w:highlight w:val="none"/>
                <w:lang w:val="en-US" w:eastAsia="zh-CN"/>
              </w:rPr>
              <w:t>10</w:t>
            </w:r>
            <w:r>
              <w:rPr>
                <w:rFonts w:hint="eastAsia" w:ascii="仿宋" w:hAnsi="仿宋" w:eastAsia="仿宋" w:cs="仿宋"/>
                <w:highlight w:val="none"/>
              </w:rPr>
              <w:t>年的得4分；具有</w:t>
            </w:r>
            <w:r>
              <w:rPr>
                <w:rFonts w:hint="eastAsia" w:ascii="仿宋" w:hAnsi="仿宋" w:eastAsia="仿宋" w:cs="仿宋"/>
                <w:highlight w:val="none"/>
                <w:lang w:val="en-US" w:eastAsia="zh-CN"/>
              </w:rPr>
              <w:t>1</w:t>
            </w:r>
            <w:r>
              <w:rPr>
                <w:rFonts w:hint="eastAsia" w:ascii="仿宋" w:hAnsi="仿宋" w:eastAsia="仿宋" w:cs="仿宋"/>
                <w:highlight w:val="none"/>
              </w:rPr>
              <w:t>名及以上执业年限在1（含）-5年及以上的得2分；。本项最多得6分。（需提供相关工作年限证明材料复印件并加盖供应商鲜章，不累积得分）</w:t>
            </w:r>
          </w:p>
        </w:tc>
        <w:tc>
          <w:tcPr>
            <w:tcW w:w="831" w:type="dxa"/>
            <w:noWrap w:val="0"/>
            <w:vAlign w:val="top"/>
          </w:tcPr>
          <w:p w14:paraId="72E8FF24">
            <w:pPr>
              <w:pStyle w:val="31"/>
              <w:jc w:val="center"/>
              <w:rPr>
                <w:rFonts w:hint="eastAsia" w:ascii="仿宋" w:hAnsi="仿宋" w:eastAsia="仿宋" w:cs="仿宋"/>
              </w:rPr>
            </w:pPr>
            <w:r>
              <w:rPr>
                <w:rFonts w:hint="eastAsia" w:ascii="仿宋" w:hAnsi="仿宋" w:eastAsia="仿宋" w:cs="仿宋"/>
              </w:rPr>
              <w:t>10.00</w:t>
            </w:r>
          </w:p>
        </w:tc>
        <w:tc>
          <w:tcPr>
            <w:tcW w:w="748" w:type="dxa"/>
            <w:noWrap w:val="0"/>
            <w:vAlign w:val="top"/>
          </w:tcPr>
          <w:p w14:paraId="32917EAF">
            <w:pPr>
              <w:pStyle w:val="31"/>
              <w:jc w:val="center"/>
              <w:rPr>
                <w:rFonts w:hint="eastAsia" w:ascii="仿宋" w:hAnsi="仿宋" w:eastAsia="仿宋" w:cs="仿宋"/>
              </w:rPr>
            </w:pPr>
            <w:r>
              <w:rPr>
                <w:rFonts w:hint="eastAsia" w:ascii="仿宋" w:hAnsi="仿宋" w:eastAsia="仿宋" w:cs="仿宋"/>
              </w:rPr>
              <w:t>客观</w:t>
            </w:r>
          </w:p>
        </w:tc>
        <w:tc>
          <w:tcPr>
            <w:tcW w:w="1661" w:type="dxa"/>
            <w:noWrap w:val="0"/>
            <w:vAlign w:val="top"/>
          </w:tcPr>
          <w:p w14:paraId="6A497C2F">
            <w:pPr>
              <w:pStyle w:val="31"/>
              <w:jc w:val="left"/>
              <w:rPr>
                <w:rFonts w:hint="eastAsia" w:ascii="仿宋" w:hAnsi="仿宋" w:eastAsia="仿宋" w:cs="仿宋"/>
              </w:rPr>
            </w:pPr>
            <w:r>
              <w:rPr>
                <w:rFonts w:hint="eastAsia" w:ascii="仿宋" w:hAnsi="仿宋" w:eastAsia="仿宋" w:cs="仿宋"/>
              </w:rPr>
              <w:t>评审因素响应情况.docx</w:t>
            </w:r>
          </w:p>
        </w:tc>
      </w:tr>
      <w:tr w14:paraId="6B9517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noWrap w:val="0"/>
            <w:vAlign w:val="top"/>
          </w:tcPr>
          <w:p w14:paraId="6824390E">
            <w:pPr>
              <w:rPr>
                <w:rFonts w:hint="eastAsia" w:ascii="仿宋" w:hAnsi="仿宋" w:eastAsia="仿宋" w:cs="仿宋"/>
              </w:rPr>
            </w:pPr>
          </w:p>
        </w:tc>
        <w:tc>
          <w:tcPr>
            <w:tcW w:w="1661" w:type="dxa"/>
            <w:noWrap w:val="0"/>
            <w:vAlign w:val="top"/>
          </w:tcPr>
          <w:p w14:paraId="0C7780BC">
            <w:pPr>
              <w:pStyle w:val="31"/>
              <w:jc w:val="left"/>
              <w:rPr>
                <w:rFonts w:hint="eastAsia" w:ascii="仿宋" w:hAnsi="仿宋" w:eastAsia="仿宋" w:cs="仿宋"/>
              </w:rPr>
            </w:pPr>
            <w:r>
              <w:rPr>
                <w:rFonts w:hint="eastAsia" w:ascii="仿宋" w:hAnsi="仿宋" w:eastAsia="仿宋" w:cs="仿宋"/>
              </w:rPr>
              <w:t>应急响应服务</w:t>
            </w:r>
          </w:p>
        </w:tc>
        <w:tc>
          <w:tcPr>
            <w:tcW w:w="2575" w:type="dxa"/>
            <w:noWrap w:val="0"/>
            <w:vAlign w:val="top"/>
          </w:tcPr>
          <w:p w14:paraId="62E5BAF1">
            <w:pPr>
              <w:pStyle w:val="31"/>
              <w:jc w:val="left"/>
              <w:rPr>
                <w:rFonts w:hint="eastAsia" w:ascii="仿宋" w:hAnsi="仿宋" w:eastAsia="仿宋" w:cs="仿宋"/>
              </w:rPr>
            </w:pPr>
            <w:r>
              <w:rPr>
                <w:rFonts w:hint="eastAsia" w:ascii="仿宋" w:hAnsi="仿宋" w:eastAsia="仿宋" w:cs="仿宋"/>
              </w:rPr>
              <w:t>供应商据实提供突发应急处置服务时限承诺：遇突发事件及其他重大纠纷，在接到服务对象（单位）服务请求后作出服务安排响应时起，能在40分钟内到达服务地点的得9分，60分钟内到达服务地点的得7分，80分钟内到达服务地点的得5分，100分钟内到达服务地点的得3分，其他不得分。 注：供应商须据实提供书面承诺函。</w:t>
            </w:r>
          </w:p>
        </w:tc>
        <w:tc>
          <w:tcPr>
            <w:tcW w:w="831" w:type="dxa"/>
            <w:noWrap w:val="0"/>
            <w:vAlign w:val="top"/>
          </w:tcPr>
          <w:p w14:paraId="51D4F073">
            <w:pPr>
              <w:pStyle w:val="31"/>
              <w:jc w:val="center"/>
              <w:rPr>
                <w:rFonts w:hint="eastAsia" w:ascii="仿宋" w:hAnsi="仿宋" w:eastAsia="仿宋" w:cs="仿宋"/>
              </w:rPr>
            </w:pPr>
            <w:r>
              <w:rPr>
                <w:rFonts w:hint="eastAsia" w:ascii="仿宋" w:hAnsi="仿宋" w:eastAsia="仿宋" w:cs="仿宋"/>
              </w:rPr>
              <w:t>9.00</w:t>
            </w:r>
          </w:p>
        </w:tc>
        <w:tc>
          <w:tcPr>
            <w:tcW w:w="748" w:type="dxa"/>
            <w:noWrap w:val="0"/>
            <w:vAlign w:val="top"/>
          </w:tcPr>
          <w:p w14:paraId="7FD7ECCD">
            <w:pPr>
              <w:pStyle w:val="31"/>
              <w:jc w:val="center"/>
              <w:rPr>
                <w:rFonts w:hint="eastAsia" w:ascii="仿宋" w:hAnsi="仿宋" w:eastAsia="仿宋" w:cs="仿宋"/>
              </w:rPr>
            </w:pPr>
            <w:r>
              <w:rPr>
                <w:rFonts w:hint="eastAsia" w:ascii="仿宋" w:hAnsi="仿宋" w:eastAsia="仿宋" w:cs="仿宋"/>
              </w:rPr>
              <w:t>主观</w:t>
            </w:r>
          </w:p>
        </w:tc>
        <w:tc>
          <w:tcPr>
            <w:tcW w:w="1661" w:type="dxa"/>
            <w:noWrap w:val="0"/>
            <w:vAlign w:val="top"/>
          </w:tcPr>
          <w:p w14:paraId="79232A90">
            <w:pPr>
              <w:pStyle w:val="31"/>
              <w:jc w:val="left"/>
              <w:rPr>
                <w:rFonts w:hint="eastAsia" w:ascii="仿宋" w:hAnsi="仿宋" w:eastAsia="仿宋" w:cs="仿宋"/>
              </w:rPr>
            </w:pPr>
            <w:r>
              <w:rPr>
                <w:rFonts w:hint="eastAsia" w:ascii="仿宋" w:hAnsi="仿宋" w:eastAsia="仿宋" w:cs="仿宋"/>
              </w:rPr>
              <w:t>评审因素响应情况.docx</w:t>
            </w:r>
          </w:p>
        </w:tc>
      </w:tr>
      <w:tr w14:paraId="342F1D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noWrap w:val="0"/>
            <w:vAlign w:val="top"/>
          </w:tcPr>
          <w:p w14:paraId="5CC17E2C">
            <w:pPr>
              <w:rPr>
                <w:rFonts w:hint="eastAsia" w:ascii="仿宋" w:hAnsi="仿宋" w:eastAsia="仿宋" w:cs="仿宋"/>
              </w:rPr>
            </w:pPr>
          </w:p>
        </w:tc>
        <w:tc>
          <w:tcPr>
            <w:tcW w:w="1661" w:type="dxa"/>
            <w:noWrap w:val="0"/>
            <w:vAlign w:val="top"/>
          </w:tcPr>
          <w:p w14:paraId="1D7A1C8A">
            <w:pPr>
              <w:pStyle w:val="31"/>
              <w:jc w:val="left"/>
              <w:rPr>
                <w:rFonts w:hint="eastAsia" w:ascii="仿宋" w:hAnsi="仿宋" w:eastAsia="仿宋" w:cs="仿宋"/>
              </w:rPr>
            </w:pPr>
            <w:r>
              <w:rPr>
                <w:rFonts w:hint="eastAsia" w:ascii="仿宋" w:hAnsi="仿宋" w:eastAsia="仿宋" w:cs="仿宋"/>
              </w:rPr>
              <w:t>项目总体服务方案</w:t>
            </w:r>
          </w:p>
        </w:tc>
        <w:tc>
          <w:tcPr>
            <w:tcW w:w="2575" w:type="dxa"/>
            <w:noWrap w:val="0"/>
            <w:vAlign w:val="top"/>
          </w:tcPr>
          <w:p w14:paraId="272FCC18">
            <w:pPr>
              <w:pStyle w:val="31"/>
              <w:jc w:val="left"/>
              <w:rPr>
                <w:rFonts w:hint="eastAsia" w:ascii="仿宋" w:hAnsi="仿宋" w:eastAsia="仿宋" w:cs="仿宋"/>
              </w:rPr>
            </w:pPr>
            <w:r>
              <w:rPr>
                <w:rFonts w:hint="eastAsia" w:ascii="仿宋" w:hAnsi="仿宋" w:eastAsia="仿宋" w:cs="仿宋"/>
              </w:rPr>
              <w:t>1、</w:t>
            </w:r>
            <w:r>
              <w:rPr>
                <w:rFonts w:hint="eastAsia" w:ascii="仿宋" w:hAnsi="仿宋" w:eastAsia="仿宋" w:cs="仿宋"/>
                <w:b/>
                <w:bCs/>
                <w:color w:val="auto"/>
              </w:rPr>
              <w:t>供应商提供针对</w:t>
            </w:r>
            <w:r>
              <w:rPr>
                <w:rFonts w:hint="eastAsia" w:ascii="仿宋" w:hAnsi="仿宋" w:eastAsia="仿宋" w:cs="仿宋"/>
                <w:b/>
                <w:bCs/>
                <w:color w:val="auto"/>
                <w:lang w:val="en-US" w:eastAsia="zh-CN"/>
              </w:rPr>
              <w:t>学校</w:t>
            </w:r>
            <w:r>
              <w:rPr>
                <w:rFonts w:hint="eastAsia" w:ascii="仿宋" w:hAnsi="仿宋" w:eastAsia="仿宋" w:cs="仿宋"/>
                <w:b/>
                <w:bCs/>
                <w:color w:val="auto"/>
              </w:rPr>
              <w:t>的涉及服务区域和领域内的法律服务需求分析方案，包括但不限于:</w:t>
            </w:r>
            <w:r>
              <w:rPr>
                <w:rFonts w:hint="eastAsia" w:ascii="仿宋" w:hAnsi="仿宋" w:eastAsia="仿宋" w:cs="仿宋"/>
              </w:rPr>
              <w:t>①为服务对象全程提供重大决策事项(包括行政规范性文件制定)咨询、论证，并提供书面法律意见；②就涉及的具体行为（行政复议（赔偿）、诉讼等）的合法性等问题进行分析，并提供书面法律意见；代理服务对象作为一方当事人的诉讼（赔偿）或者仲裁案件至结案；③就涉及的相关行政、民事、经济项目、投资项目提供专项法律服务，包括对法律咨询、谈判、提供书面法律论证意见、草拟、修改合同（协议）；④参与处理涉及的尚未形成诉讼的民事、经济、行政纠纷，参与涉诉、信访、重大遗留问题、重大群体性事件及其他重大纠纷的调处，并提出可行性意见和建议；⑤为服务对象制作和审查有关合同文本等法律文书，并提出具有操作性的法律风险防范意见和建议，出席有关会议（包含非工作时间召开会议），提出书面意见和建议，提供相关法律培训，参加法律宣传、接受咨询等内容。内容完全符合项目要求且详细、描述清晰、严谨且针对性强的得</w:t>
            </w:r>
            <w:r>
              <w:rPr>
                <w:rFonts w:hint="eastAsia" w:ascii="仿宋" w:hAnsi="仿宋" w:eastAsia="仿宋" w:cs="仿宋"/>
                <w:lang w:val="en-US" w:eastAsia="zh-CN"/>
              </w:rPr>
              <w:t>10</w:t>
            </w:r>
            <w:r>
              <w:rPr>
                <w:rFonts w:hint="eastAsia" w:ascii="仿宋" w:hAnsi="仿宋" w:eastAsia="仿宋" w:cs="仿宋"/>
              </w:rPr>
              <w:t>分；每缺一项内容扣</w:t>
            </w:r>
            <w:r>
              <w:rPr>
                <w:rFonts w:hint="eastAsia" w:ascii="仿宋" w:hAnsi="仿宋" w:eastAsia="仿宋" w:cs="仿宋"/>
                <w:lang w:val="en-US" w:eastAsia="zh-CN"/>
              </w:rPr>
              <w:t>2</w:t>
            </w:r>
            <w:r>
              <w:rPr>
                <w:rFonts w:hint="eastAsia" w:ascii="仿宋" w:hAnsi="仿宋" w:eastAsia="仿宋" w:cs="仿宋"/>
              </w:rPr>
              <w:t>分；每有一项内容存在不足或不能完全符合本项目要求的扣</w:t>
            </w:r>
            <w:r>
              <w:rPr>
                <w:rFonts w:hint="eastAsia" w:ascii="仿宋" w:hAnsi="仿宋" w:eastAsia="仿宋" w:cs="仿宋"/>
                <w:lang w:val="en-US" w:eastAsia="zh-CN"/>
              </w:rPr>
              <w:t>1</w:t>
            </w:r>
            <w:r>
              <w:rPr>
                <w:rFonts w:hint="eastAsia" w:ascii="仿宋" w:hAnsi="仿宋" w:eastAsia="仿宋" w:cs="仿宋"/>
              </w:rPr>
              <w:t xml:space="preserve">分，直至本项扣完为止。（注：内容存在不足或不能完全本项目要求指：方案内容不切合行业实际、不符合行业政策；或方案内容生搬硬造，与实际情况不符，存在偏差；或方案内容过于简略，存在与项目无关的文字内容；或内容不适用项目实际情况；或内容逻辑漏洞或原理错误；或方案中内容前后不一致、前后逻辑错误、涉及的规范及标准错误；或方案中存在地点区域错误，不符合项目实际情况等。） </w:t>
            </w:r>
            <w:r>
              <w:rPr>
                <w:rFonts w:hint="eastAsia" w:ascii="仿宋" w:hAnsi="仿宋" w:eastAsia="仿宋" w:cs="仿宋"/>
                <w:b/>
                <w:bCs/>
              </w:rPr>
              <w:t>2.供应商针对</w:t>
            </w:r>
            <w:r>
              <w:rPr>
                <w:rFonts w:hint="eastAsia" w:ascii="仿宋" w:hAnsi="仿宋" w:eastAsia="仿宋" w:cs="仿宋"/>
                <w:b/>
                <w:bCs/>
                <w:lang w:val="en-US" w:eastAsia="zh-CN"/>
              </w:rPr>
              <w:t>学校</w:t>
            </w:r>
            <w:r>
              <w:rPr>
                <w:rFonts w:hint="eastAsia" w:ascii="仿宋" w:hAnsi="仿宋" w:eastAsia="仿宋" w:cs="仿宋"/>
                <w:b/>
                <w:bCs/>
              </w:rPr>
              <w:t>实际情况提供的服务方案</w:t>
            </w:r>
            <w:r>
              <w:rPr>
                <w:rFonts w:hint="eastAsia" w:ascii="仿宋" w:hAnsi="仿宋" w:eastAsia="仿宋" w:cs="仿宋"/>
              </w:rPr>
              <w:t>，包括但不限于:①内部组织和管理、②服务措施、③人员组织、④服务内容分析、⑤应急预案；⑥重大决策风险防范；⑦突发涉法事件应对；⑧重大历史遗留问题化解等内容。内容完全符合项目要求且详细、描述清晰、严谨且针对性强的得16分；每缺一项内容扣2分；每有一项内容存在不足或不能完全符合本项目要求的扣1分，直至本项扣完为止。（注：内容存在不足或不能完全本项目要求指：方案内容不切合行业实际、不符合行业政策；或方案内容生搬硬造，与实际情况不符，存在偏差；或方案内容过于简略，存在与项目无关的文字内容；或内容不适用项目实际情况；或内容逻辑漏洞或原理错误；或方案中内容前后不一致、前后逻辑错误、涉及的规范及标准错误；或方案中存在地点区域错误，不符合项目实际情况等。）</w:t>
            </w:r>
          </w:p>
        </w:tc>
        <w:tc>
          <w:tcPr>
            <w:tcW w:w="831" w:type="dxa"/>
            <w:noWrap w:val="0"/>
            <w:vAlign w:val="top"/>
          </w:tcPr>
          <w:p w14:paraId="0862F40B">
            <w:pPr>
              <w:pStyle w:val="31"/>
              <w:jc w:val="center"/>
              <w:rPr>
                <w:rFonts w:hint="eastAsia" w:ascii="仿宋" w:hAnsi="仿宋" w:eastAsia="仿宋" w:cs="仿宋"/>
              </w:rPr>
            </w:pPr>
            <w:r>
              <w:rPr>
                <w:rFonts w:hint="eastAsia" w:ascii="仿宋" w:hAnsi="仿宋" w:eastAsia="仿宋" w:cs="仿宋"/>
                <w:lang w:val="en-US" w:eastAsia="zh-CN"/>
              </w:rPr>
              <w:t>26</w:t>
            </w:r>
            <w:r>
              <w:rPr>
                <w:rFonts w:hint="eastAsia" w:ascii="仿宋" w:hAnsi="仿宋" w:eastAsia="仿宋" w:cs="仿宋"/>
              </w:rPr>
              <w:t>.00</w:t>
            </w:r>
          </w:p>
        </w:tc>
        <w:tc>
          <w:tcPr>
            <w:tcW w:w="748" w:type="dxa"/>
            <w:noWrap w:val="0"/>
            <w:vAlign w:val="top"/>
          </w:tcPr>
          <w:p w14:paraId="2B5E5B4E">
            <w:pPr>
              <w:pStyle w:val="31"/>
              <w:jc w:val="center"/>
              <w:rPr>
                <w:rFonts w:hint="eastAsia" w:ascii="仿宋" w:hAnsi="仿宋" w:eastAsia="仿宋" w:cs="仿宋"/>
              </w:rPr>
            </w:pPr>
            <w:r>
              <w:rPr>
                <w:rFonts w:hint="eastAsia" w:ascii="仿宋" w:hAnsi="仿宋" w:eastAsia="仿宋" w:cs="仿宋"/>
              </w:rPr>
              <w:t>主观</w:t>
            </w:r>
          </w:p>
        </w:tc>
        <w:tc>
          <w:tcPr>
            <w:tcW w:w="1661" w:type="dxa"/>
            <w:noWrap w:val="0"/>
            <w:vAlign w:val="top"/>
          </w:tcPr>
          <w:p w14:paraId="3B984A90">
            <w:pPr>
              <w:pStyle w:val="31"/>
              <w:jc w:val="left"/>
              <w:rPr>
                <w:rFonts w:hint="eastAsia" w:ascii="仿宋" w:hAnsi="仿宋" w:eastAsia="仿宋" w:cs="仿宋"/>
              </w:rPr>
            </w:pPr>
            <w:r>
              <w:rPr>
                <w:rFonts w:hint="eastAsia" w:ascii="仿宋" w:hAnsi="仿宋" w:eastAsia="仿宋" w:cs="仿宋"/>
              </w:rPr>
              <w:t>评审因素响应情况.docx</w:t>
            </w:r>
          </w:p>
        </w:tc>
      </w:tr>
      <w:tr w14:paraId="14365B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noWrap w:val="0"/>
            <w:vAlign w:val="top"/>
          </w:tcPr>
          <w:p w14:paraId="7A73C351">
            <w:pPr>
              <w:pStyle w:val="31"/>
              <w:jc w:val="left"/>
              <w:rPr>
                <w:rFonts w:hint="eastAsia" w:ascii="仿宋" w:hAnsi="仿宋" w:eastAsia="仿宋" w:cs="仿宋"/>
              </w:rPr>
            </w:pPr>
            <w:r>
              <w:rPr>
                <w:rFonts w:hint="eastAsia" w:ascii="仿宋" w:hAnsi="仿宋" w:eastAsia="仿宋" w:cs="仿宋"/>
              </w:rPr>
              <w:t>价格分</w:t>
            </w:r>
          </w:p>
        </w:tc>
        <w:tc>
          <w:tcPr>
            <w:tcW w:w="1661" w:type="dxa"/>
            <w:noWrap w:val="0"/>
            <w:vAlign w:val="top"/>
          </w:tcPr>
          <w:p w14:paraId="0FC2E635">
            <w:pPr>
              <w:pStyle w:val="31"/>
              <w:jc w:val="left"/>
              <w:rPr>
                <w:rFonts w:hint="eastAsia" w:ascii="仿宋" w:hAnsi="仿宋" w:eastAsia="仿宋" w:cs="仿宋"/>
                <w:color w:val="auto"/>
              </w:rPr>
            </w:pPr>
            <w:r>
              <w:rPr>
                <w:rFonts w:hint="eastAsia" w:ascii="仿宋" w:hAnsi="仿宋" w:eastAsia="仿宋" w:cs="仿宋"/>
                <w:color w:val="auto"/>
              </w:rPr>
              <w:t>合计</w:t>
            </w:r>
          </w:p>
        </w:tc>
        <w:tc>
          <w:tcPr>
            <w:tcW w:w="2575" w:type="dxa"/>
            <w:noWrap w:val="0"/>
            <w:vAlign w:val="top"/>
          </w:tcPr>
          <w:p w14:paraId="6BBABB33">
            <w:pPr>
              <w:pStyle w:val="31"/>
              <w:jc w:val="left"/>
              <w:rPr>
                <w:rFonts w:hint="eastAsia" w:ascii="仿宋" w:hAnsi="仿宋" w:eastAsia="仿宋" w:cs="仿宋"/>
                <w:color w:val="auto"/>
              </w:rPr>
            </w:pPr>
            <w:r>
              <w:rPr>
                <w:rFonts w:hint="eastAsia" w:ascii="仿宋" w:hAnsi="仿宋" w:eastAsia="仿宋" w:cs="仿宋"/>
                <w:color w:val="auto"/>
              </w:rPr>
              <w:t>1. 经评标委员会评审，通过资格和符合性审查，且投标报价最低的投标人的投标报价作为评标基准价。2.投标报价得分=(评标基准价／投标报价)×分值。评审价格=响应报价。经价格调整后的评审价格=响应报价×（1-价格调整比例）基准价=经价格调整后评审价格的最低值。</w:t>
            </w:r>
          </w:p>
        </w:tc>
        <w:tc>
          <w:tcPr>
            <w:tcW w:w="831" w:type="dxa"/>
            <w:noWrap w:val="0"/>
            <w:vAlign w:val="top"/>
          </w:tcPr>
          <w:p w14:paraId="283B4D38">
            <w:pPr>
              <w:pStyle w:val="31"/>
              <w:jc w:val="center"/>
              <w:rPr>
                <w:rFonts w:hint="eastAsia" w:ascii="仿宋" w:hAnsi="仿宋" w:eastAsia="仿宋" w:cs="仿宋"/>
              </w:rPr>
            </w:pPr>
            <w:r>
              <w:rPr>
                <w:rFonts w:hint="eastAsia" w:ascii="仿宋" w:hAnsi="仿宋" w:eastAsia="仿宋" w:cs="仿宋"/>
                <w:highlight w:val="none"/>
                <w:lang w:val="en-US" w:eastAsia="zh-CN"/>
              </w:rPr>
              <w:t>30</w:t>
            </w:r>
            <w:r>
              <w:rPr>
                <w:rFonts w:hint="eastAsia" w:ascii="仿宋" w:hAnsi="仿宋" w:eastAsia="仿宋" w:cs="仿宋"/>
                <w:highlight w:val="none"/>
              </w:rPr>
              <w:t>.00</w:t>
            </w:r>
          </w:p>
        </w:tc>
        <w:tc>
          <w:tcPr>
            <w:tcW w:w="748" w:type="dxa"/>
            <w:noWrap w:val="0"/>
            <w:vAlign w:val="top"/>
          </w:tcPr>
          <w:p w14:paraId="6342658E">
            <w:pPr>
              <w:pStyle w:val="31"/>
              <w:jc w:val="center"/>
              <w:rPr>
                <w:rFonts w:hint="eastAsia" w:ascii="仿宋" w:hAnsi="仿宋" w:eastAsia="仿宋" w:cs="仿宋"/>
              </w:rPr>
            </w:pPr>
            <w:r>
              <w:rPr>
                <w:rFonts w:hint="eastAsia" w:ascii="仿宋" w:hAnsi="仿宋" w:eastAsia="仿宋" w:cs="仿宋"/>
              </w:rPr>
              <w:t>客观</w:t>
            </w:r>
          </w:p>
        </w:tc>
        <w:tc>
          <w:tcPr>
            <w:tcW w:w="1661" w:type="dxa"/>
            <w:noWrap w:val="0"/>
            <w:vAlign w:val="top"/>
          </w:tcPr>
          <w:p w14:paraId="773BE399">
            <w:pPr>
              <w:pStyle w:val="31"/>
              <w:jc w:val="left"/>
              <w:rPr>
                <w:rFonts w:hint="eastAsia" w:ascii="仿宋" w:hAnsi="仿宋" w:eastAsia="仿宋" w:cs="仿宋"/>
              </w:rPr>
            </w:pPr>
            <w:r>
              <w:rPr>
                <w:rFonts w:hint="eastAsia" w:ascii="仿宋" w:hAnsi="仿宋" w:eastAsia="仿宋" w:cs="仿宋"/>
              </w:rPr>
              <w:t>报价表</w:t>
            </w:r>
          </w:p>
        </w:tc>
      </w:tr>
    </w:tbl>
    <w:p w14:paraId="63FC40C1">
      <w:pPr>
        <w:widowControl/>
        <w:shd w:val="clear" w:color="auto" w:fill="FFFFFF"/>
        <w:rPr>
          <w:rFonts w:hint="eastAsia" w:ascii="仿宋" w:hAnsi="仿宋" w:eastAsia="仿宋" w:cs="仿宋"/>
          <w:b/>
          <w:bCs/>
          <w:color w:val="000000"/>
          <w:kern w:val="0"/>
          <w:sz w:val="24"/>
          <w:szCs w:val="24"/>
          <w:highlight w:val="none"/>
          <w:lang w:val="en-US" w:eastAsia="zh-CN"/>
        </w:rPr>
      </w:pPr>
    </w:p>
    <w:p w14:paraId="1B868318">
      <w:pPr>
        <w:widowControl/>
        <w:shd w:val="clear" w:color="auto" w:fill="FFFFFF"/>
        <w:rPr>
          <w:rFonts w:hint="eastAsia" w:ascii="仿宋" w:hAnsi="仿宋" w:eastAsia="仿宋" w:cs="仿宋"/>
          <w:b/>
          <w:bCs/>
          <w:color w:val="000000"/>
          <w:kern w:val="0"/>
          <w:sz w:val="24"/>
          <w:szCs w:val="24"/>
          <w:highlight w:val="none"/>
          <w:lang w:val="en-US" w:eastAsia="zh-CN"/>
        </w:rPr>
      </w:pPr>
    </w:p>
    <w:p w14:paraId="25F1B9F1">
      <w:pPr>
        <w:widowControl/>
        <w:shd w:val="clear" w:color="auto" w:fill="FFFFFF"/>
        <w:rPr>
          <w:rFonts w:hint="eastAsia" w:ascii="仿宋" w:hAnsi="仿宋" w:eastAsia="仿宋" w:cs="仿宋"/>
          <w:b/>
          <w:bCs/>
          <w:color w:val="000000"/>
          <w:kern w:val="0"/>
          <w:sz w:val="24"/>
          <w:szCs w:val="24"/>
          <w:highlight w:val="none"/>
          <w:lang w:val="en-US" w:eastAsia="zh-CN"/>
        </w:rPr>
      </w:pPr>
    </w:p>
    <w:p w14:paraId="155E4061">
      <w:pPr>
        <w:widowControl/>
        <w:shd w:val="clear" w:color="auto" w:fill="FFFFFF"/>
        <w:rPr>
          <w:rFonts w:hint="eastAsia" w:ascii="仿宋" w:hAnsi="仿宋" w:eastAsia="仿宋" w:cs="仿宋"/>
          <w:b/>
          <w:bCs/>
          <w:color w:val="000000"/>
          <w:kern w:val="0"/>
          <w:sz w:val="24"/>
          <w:szCs w:val="24"/>
          <w:highlight w:val="none"/>
          <w:lang w:val="en-US" w:eastAsia="zh-CN"/>
        </w:rPr>
      </w:pPr>
      <w:bookmarkStart w:id="10" w:name="_GoBack"/>
      <w:bookmarkEnd w:id="10"/>
    </w:p>
    <w:p w14:paraId="79930923">
      <w:pPr>
        <w:widowControl/>
        <w:shd w:val="clear" w:color="auto" w:fill="FFFFFF"/>
        <w:rPr>
          <w:rFonts w:hint="eastAsia" w:ascii="仿宋" w:hAnsi="仿宋" w:eastAsia="仿宋" w:cs="仿宋"/>
          <w:b/>
          <w:bCs/>
          <w:color w:val="000000"/>
          <w:kern w:val="0"/>
          <w:sz w:val="24"/>
          <w:szCs w:val="24"/>
          <w:highlight w:val="none"/>
          <w:lang w:val="en-US" w:eastAsia="zh-CN"/>
        </w:rPr>
      </w:pPr>
    </w:p>
    <w:p w14:paraId="74D1E9DE">
      <w:pPr>
        <w:widowControl/>
        <w:shd w:val="clear" w:color="auto" w:fill="FFFFFF"/>
        <w:rPr>
          <w:rFonts w:hint="eastAsia" w:ascii="仿宋" w:hAnsi="仿宋" w:eastAsia="仿宋" w:cs="仿宋"/>
          <w:b/>
          <w:bCs/>
          <w:color w:val="000000"/>
          <w:kern w:val="0"/>
          <w:sz w:val="24"/>
          <w:szCs w:val="24"/>
          <w:highlight w:val="none"/>
          <w:lang w:val="en-US" w:eastAsia="zh-CN"/>
        </w:rPr>
      </w:pPr>
    </w:p>
    <w:p w14:paraId="1E44B526">
      <w:pPr>
        <w:widowControl/>
        <w:shd w:val="clear" w:color="auto" w:fill="FFFFFF"/>
        <w:rPr>
          <w:rFonts w:hint="eastAsia" w:ascii="仿宋" w:hAnsi="仿宋" w:eastAsia="仿宋" w:cs="仿宋"/>
          <w:b/>
          <w:bCs/>
          <w:color w:val="000000"/>
          <w:kern w:val="0"/>
          <w:sz w:val="24"/>
          <w:szCs w:val="24"/>
          <w:highlight w:val="none"/>
          <w:lang w:val="en-US" w:eastAsia="zh-CN"/>
        </w:rPr>
      </w:pPr>
    </w:p>
    <w:p w14:paraId="70794070">
      <w:pPr>
        <w:widowControl/>
        <w:shd w:val="clear" w:color="auto" w:fill="FFFFFF"/>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常年法律顾问服务报名表</w:t>
      </w:r>
    </w:p>
    <w:p w14:paraId="2FAFCFC3">
      <w:pPr>
        <w:widowControl/>
        <w:shd w:val="clear" w:color="auto" w:fill="FFFFFF"/>
        <w:rPr>
          <w:rFonts w:hint="eastAsia" w:ascii="仿宋" w:hAnsi="仿宋" w:eastAsia="仿宋" w:cs="仿宋"/>
          <w:b/>
          <w:bCs/>
          <w:color w:val="000000"/>
          <w:kern w:val="0"/>
          <w:sz w:val="24"/>
          <w:szCs w:val="24"/>
          <w:highlight w:val="none"/>
          <w:lang w:val="en-US" w:eastAsia="zh-CN"/>
        </w:rPr>
      </w:pPr>
    </w:p>
    <w:tbl>
      <w:tblPr>
        <w:tblStyle w:val="19"/>
        <w:tblpPr w:leftFromText="180" w:rightFromText="180" w:vertAnchor="text" w:horzAnchor="page" w:tblpX="1372" w:tblpY="87"/>
        <w:tblOverlap w:val="never"/>
        <w:tblW w:w="5375" w:type="pct"/>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937"/>
        <w:gridCol w:w="1661"/>
        <w:gridCol w:w="1119"/>
        <w:gridCol w:w="3397"/>
        <w:gridCol w:w="835"/>
        <w:gridCol w:w="783"/>
        <w:gridCol w:w="948"/>
      </w:tblGrid>
      <w:tr w14:paraId="5442EB39">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5000" w:type="pct"/>
            <w:gridSpan w:val="7"/>
            <w:tcBorders>
              <w:bottom w:val="nil"/>
            </w:tcBorders>
            <w:noWrap/>
            <w:vAlign w:val="center"/>
          </w:tcPr>
          <w:p w14:paraId="4437F032">
            <w:pPr>
              <w:keepNext w:val="0"/>
              <w:keepLines w:val="0"/>
              <w:widowControl/>
              <w:suppressLineNumbers w:val="0"/>
              <w:jc w:val="center"/>
              <w:textAlignment w:val="center"/>
              <w:rPr>
                <w:rFonts w:hint="eastAsia" w:ascii="仿宋" w:hAnsi="仿宋" w:eastAsia="仿宋" w:cs="仿宋"/>
                <w:b/>
                <w:bCs/>
                <w:i w:val="0"/>
                <w:iCs w:val="0"/>
                <w:color w:val="000000"/>
                <w:sz w:val="40"/>
                <w:szCs w:val="40"/>
                <w:u w:val="none"/>
              </w:rPr>
            </w:pPr>
            <w:r>
              <w:rPr>
                <w:rFonts w:hint="eastAsia" w:ascii="仿宋" w:hAnsi="仿宋" w:eastAsia="仿宋" w:cs="仿宋"/>
                <w:b/>
                <w:bCs/>
                <w:i w:val="0"/>
                <w:iCs w:val="0"/>
                <w:color w:val="000000"/>
                <w:kern w:val="0"/>
                <w:sz w:val="36"/>
                <w:szCs w:val="36"/>
                <w:u w:val="none"/>
                <w:lang w:val="en-US" w:eastAsia="zh-CN" w:bidi="ar"/>
              </w:rPr>
              <w:t xml:space="preserve"> 常年法律顾问服务公开竞标报名表</w:t>
            </w:r>
          </w:p>
        </w:tc>
      </w:tr>
      <w:tr w14:paraId="3D1677C7">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483" w:type="pct"/>
            <w:tcBorders>
              <w:top w:val="nil"/>
              <w:bottom w:val="single" w:color="000000" w:sz="4" w:space="0"/>
              <w:right w:val="single" w:color="000000" w:sz="4" w:space="0"/>
            </w:tcBorders>
            <w:noWrap/>
            <w:vAlign w:val="center"/>
          </w:tcPr>
          <w:p w14:paraId="5C106AB3">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机构名称</w:t>
            </w:r>
          </w:p>
        </w:tc>
        <w:tc>
          <w:tcPr>
            <w:tcW w:w="857" w:type="pct"/>
            <w:tcBorders>
              <w:top w:val="nil"/>
              <w:left w:val="single" w:color="000000" w:sz="4" w:space="0"/>
              <w:bottom w:val="single" w:color="000000" w:sz="4" w:space="0"/>
              <w:right w:val="single" w:color="000000" w:sz="4" w:space="0"/>
            </w:tcBorders>
            <w:noWrap/>
            <w:vAlign w:val="center"/>
          </w:tcPr>
          <w:p w14:paraId="035F97CB">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统一社会信用代码</w:t>
            </w:r>
          </w:p>
        </w:tc>
        <w:tc>
          <w:tcPr>
            <w:tcW w:w="577" w:type="pct"/>
            <w:tcBorders>
              <w:top w:val="nil"/>
              <w:left w:val="single" w:color="000000" w:sz="4" w:space="0"/>
              <w:bottom w:val="single" w:color="000000" w:sz="4" w:space="0"/>
              <w:right w:val="single" w:color="000000" w:sz="4" w:space="0"/>
            </w:tcBorders>
            <w:noWrap/>
            <w:vAlign w:val="center"/>
          </w:tcPr>
          <w:p w14:paraId="57E1734A">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法定代表人</w:t>
            </w:r>
          </w:p>
        </w:tc>
        <w:tc>
          <w:tcPr>
            <w:tcW w:w="1754" w:type="pct"/>
            <w:tcBorders>
              <w:top w:val="nil"/>
              <w:left w:val="single" w:color="000000" w:sz="4" w:space="0"/>
              <w:bottom w:val="single" w:color="000000" w:sz="4" w:space="0"/>
              <w:right w:val="single" w:color="000000" w:sz="4" w:space="0"/>
            </w:tcBorders>
            <w:noWrap/>
            <w:vAlign w:val="center"/>
          </w:tcPr>
          <w:p w14:paraId="31D23C23">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机构规模（小微企业、中型企业、大型企业）</w:t>
            </w:r>
          </w:p>
        </w:tc>
        <w:tc>
          <w:tcPr>
            <w:tcW w:w="431" w:type="pct"/>
            <w:tcBorders>
              <w:top w:val="nil"/>
              <w:left w:val="single" w:color="000000" w:sz="4" w:space="0"/>
              <w:bottom w:val="single" w:color="000000" w:sz="4" w:space="0"/>
              <w:right w:val="single" w:color="000000" w:sz="4" w:space="0"/>
            </w:tcBorders>
            <w:noWrap/>
            <w:vAlign w:val="center"/>
          </w:tcPr>
          <w:p w14:paraId="75F1DA26">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联系人</w:t>
            </w:r>
          </w:p>
        </w:tc>
        <w:tc>
          <w:tcPr>
            <w:tcW w:w="404" w:type="pct"/>
            <w:tcBorders>
              <w:top w:val="nil"/>
              <w:left w:val="single" w:color="000000" w:sz="4" w:space="0"/>
              <w:bottom w:val="single" w:color="000000" w:sz="4" w:space="0"/>
              <w:right w:val="single" w:color="000000" w:sz="4" w:space="0"/>
            </w:tcBorders>
            <w:noWrap/>
            <w:vAlign w:val="center"/>
          </w:tcPr>
          <w:p w14:paraId="6E388101">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联系电话</w:t>
            </w:r>
          </w:p>
        </w:tc>
        <w:tc>
          <w:tcPr>
            <w:tcW w:w="489" w:type="pct"/>
            <w:tcBorders>
              <w:top w:val="nil"/>
              <w:left w:val="single" w:color="000000" w:sz="4" w:space="0"/>
              <w:bottom w:val="single" w:color="000000" w:sz="4" w:space="0"/>
            </w:tcBorders>
            <w:noWrap/>
            <w:vAlign w:val="center"/>
          </w:tcPr>
          <w:p w14:paraId="3C6AE1A7">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办公地址</w:t>
            </w:r>
          </w:p>
        </w:tc>
      </w:tr>
      <w:tr w14:paraId="6C685B0A">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83" w:type="pct"/>
            <w:tcBorders>
              <w:top w:val="single" w:color="000000" w:sz="4" w:space="0"/>
              <w:bottom w:val="single" w:color="000000" w:sz="4" w:space="0"/>
              <w:right w:val="single" w:color="000000" w:sz="4" w:space="0"/>
            </w:tcBorders>
            <w:noWrap/>
            <w:vAlign w:val="center"/>
          </w:tcPr>
          <w:p w14:paraId="47933077">
            <w:pPr>
              <w:rPr>
                <w:rFonts w:hint="eastAsia" w:ascii="仿宋" w:hAnsi="仿宋" w:eastAsia="仿宋" w:cs="仿宋"/>
                <w:i w:val="0"/>
                <w:iCs w:val="0"/>
                <w:color w:val="000000"/>
                <w:sz w:val="22"/>
                <w:szCs w:val="22"/>
                <w:u w:val="none"/>
              </w:rPr>
            </w:pPr>
          </w:p>
        </w:tc>
        <w:tc>
          <w:tcPr>
            <w:tcW w:w="857" w:type="pct"/>
            <w:tcBorders>
              <w:top w:val="single" w:color="000000" w:sz="4" w:space="0"/>
              <w:left w:val="single" w:color="000000" w:sz="4" w:space="0"/>
              <w:bottom w:val="single" w:color="000000" w:sz="4" w:space="0"/>
              <w:right w:val="single" w:color="000000" w:sz="4" w:space="0"/>
            </w:tcBorders>
            <w:noWrap/>
            <w:vAlign w:val="center"/>
          </w:tcPr>
          <w:p w14:paraId="46B520C2">
            <w:pPr>
              <w:rPr>
                <w:rFonts w:hint="eastAsia" w:ascii="仿宋" w:hAnsi="仿宋" w:eastAsia="仿宋" w:cs="仿宋"/>
                <w:i w:val="0"/>
                <w:iCs w:val="0"/>
                <w:color w:val="000000"/>
                <w:sz w:val="28"/>
                <w:szCs w:val="28"/>
                <w:u w:val="none"/>
              </w:rPr>
            </w:pPr>
          </w:p>
        </w:tc>
        <w:tc>
          <w:tcPr>
            <w:tcW w:w="577" w:type="pct"/>
            <w:tcBorders>
              <w:top w:val="single" w:color="000000" w:sz="4" w:space="0"/>
              <w:left w:val="single" w:color="000000" w:sz="4" w:space="0"/>
              <w:bottom w:val="single" w:color="000000" w:sz="4" w:space="0"/>
              <w:right w:val="single" w:color="000000" w:sz="4" w:space="0"/>
            </w:tcBorders>
            <w:noWrap/>
            <w:vAlign w:val="center"/>
          </w:tcPr>
          <w:p w14:paraId="6E09C184">
            <w:pPr>
              <w:rPr>
                <w:rFonts w:hint="eastAsia" w:ascii="仿宋" w:hAnsi="仿宋" w:eastAsia="仿宋" w:cs="仿宋"/>
                <w:i w:val="0"/>
                <w:iCs w:val="0"/>
                <w:color w:val="000000"/>
                <w:sz w:val="22"/>
                <w:szCs w:val="22"/>
                <w:u w:val="none"/>
              </w:rPr>
            </w:pPr>
          </w:p>
        </w:tc>
        <w:tc>
          <w:tcPr>
            <w:tcW w:w="1754" w:type="pct"/>
            <w:tcBorders>
              <w:top w:val="single" w:color="000000" w:sz="4" w:space="0"/>
              <w:left w:val="single" w:color="000000" w:sz="4" w:space="0"/>
              <w:bottom w:val="single" w:color="000000" w:sz="4" w:space="0"/>
              <w:right w:val="single" w:color="000000" w:sz="4" w:space="0"/>
            </w:tcBorders>
            <w:noWrap/>
            <w:vAlign w:val="center"/>
          </w:tcPr>
          <w:p w14:paraId="6E66DB4C">
            <w:pPr>
              <w:rPr>
                <w:rFonts w:hint="eastAsia" w:ascii="仿宋" w:hAnsi="仿宋" w:eastAsia="仿宋" w:cs="仿宋"/>
                <w:i w:val="0"/>
                <w:iCs w:val="0"/>
                <w:color w:val="000000"/>
                <w:sz w:val="22"/>
                <w:szCs w:val="22"/>
                <w:u w:val="none"/>
              </w:rPr>
            </w:pP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2F2C478A">
            <w:pPr>
              <w:rPr>
                <w:rFonts w:hint="eastAsia" w:ascii="仿宋" w:hAnsi="仿宋" w:eastAsia="仿宋" w:cs="仿宋"/>
                <w:i w:val="0"/>
                <w:iCs w:val="0"/>
                <w:color w:val="000000"/>
                <w:sz w:val="22"/>
                <w:szCs w:val="22"/>
                <w:u w:val="none"/>
              </w:rPr>
            </w:pP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19D77EAF">
            <w:pPr>
              <w:rPr>
                <w:rFonts w:hint="eastAsia" w:ascii="仿宋" w:hAnsi="仿宋" w:eastAsia="仿宋" w:cs="仿宋"/>
                <w:i w:val="0"/>
                <w:iCs w:val="0"/>
                <w:color w:val="000000"/>
                <w:sz w:val="22"/>
                <w:szCs w:val="22"/>
                <w:u w:val="none"/>
              </w:rPr>
            </w:pPr>
          </w:p>
        </w:tc>
        <w:tc>
          <w:tcPr>
            <w:tcW w:w="489" w:type="pct"/>
            <w:tcBorders>
              <w:top w:val="single" w:color="000000" w:sz="4" w:space="0"/>
              <w:left w:val="single" w:color="000000" w:sz="4" w:space="0"/>
              <w:bottom w:val="single" w:color="000000" w:sz="4" w:space="0"/>
            </w:tcBorders>
            <w:noWrap/>
            <w:vAlign w:val="center"/>
          </w:tcPr>
          <w:p w14:paraId="76185C1D">
            <w:pPr>
              <w:rPr>
                <w:rFonts w:hint="eastAsia" w:ascii="仿宋" w:hAnsi="仿宋" w:eastAsia="仿宋" w:cs="仿宋"/>
                <w:i w:val="0"/>
                <w:iCs w:val="0"/>
                <w:color w:val="000000"/>
                <w:sz w:val="22"/>
                <w:szCs w:val="22"/>
                <w:u w:val="none"/>
              </w:rPr>
            </w:pPr>
          </w:p>
        </w:tc>
      </w:tr>
    </w:tbl>
    <w:p w14:paraId="4ADC7C1B">
      <w:pPr>
        <w:autoSpaceDE w:val="0"/>
        <w:autoSpaceDN w:val="0"/>
        <w:adjustRightInd w:val="0"/>
        <w:spacing w:line="360" w:lineRule="auto"/>
        <w:rPr>
          <w:rFonts w:hint="eastAsia" w:ascii="仿宋" w:hAnsi="仿宋" w:eastAsia="仿宋" w:cs="仿宋"/>
          <w:b/>
          <w:kern w:val="0"/>
          <w:sz w:val="30"/>
          <w:szCs w:val="30"/>
        </w:rPr>
      </w:pPr>
    </w:p>
    <w:p w14:paraId="58CBD02B">
      <w:pPr>
        <w:rPr>
          <w:rFonts w:hint="eastAsia" w:ascii="仿宋" w:hAnsi="仿宋" w:eastAsia="仿宋" w:cs="仿宋"/>
          <w:sz w:val="30"/>
          <w:szCs w:val="30"/>
        </w:rPr>
      </w:pPr>
    </w:p>
    <w:sectPr>
      <w:headerReference r:id="rId4" w:type="first"/>
      <w:footerReference r:id="rId7" w:type="first"/>
      <w:headerReference r:id="rId3" w:type="default"/>
      <w:footerReference r:id="rId5" w:type="default"/>
      <w:footerReference r:id="rId6" w:type="even"/>
      <w:pgSz w:w="11906" w:h="16838"/>
      <w:pgMar w:top="907" w:right="1474" w:bottom="680" w:left="164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embedRegular r:id="rId1" w:fontKey="{ACF5770A-DE72-49FD-954C-71430CB3A8F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D2A91">
    <w:pPr>
      <w:pStyle w:val="11"/>
      <w:framePr w:wrap="around" w:vAnchor="text" w:hAnchor="margin" w:xAlign="center" w:y="1"/>
      <w:rPr>
        <w:rStyle w:val="22"/>
        <w:rFonts w:ascii="宋体" w:hAnsi="宋体"/>
        <w:sz w:val="21"/>
        <w:szCs w:val="21"/>
      </w:rPr>
    </w:pPr>
    <w:r>
      <w:rPr>
        <w:rFonts w:ascii="宋体" w:hAnsi="宋体"/>
        <w:sz w:val="21"/>
        <w:szCs w:val="21"/>
      </w:rPr>
      <w:fldChar w:fldCharType="begin"/>
    </w:r>
    <w:r>
      <w:rPr>
        <w:rStyle w:val="22"/>
        <w:rFonts w:ascii="宋体" w:hAnsi="宋体"/>
        <w:sz w:val="21"/>
        <w:szCs w:val="21"/>
      </w:rPr>
      <w:instrText xml:space="preserve">PAGE  </w:instrText>
    </w:r>
    <w:r>
      <w:rPr>
        <w:rFonts w:ascii="宋体" w:hAnsi="宋体"/>
        <w:sz w:val="21"/>
        <w:szCs w:val="21"/>
      </w:rPr>
      <w:fldChar w:fldCharType="separate"/>
    </w:r>
    <w:r>
      <w:rPr>
        <w:rStyle w:val="22"/>
        <w:rFonts w:ascii="宋体" w:hAnsi="宋体"/>
        <w:sz w:val="21"/>
        <w:szCs w:val="21"/>
      </w:rPr>
      <w:t>18</w:t>
    </w:r>
    <w:r>
      <w:rPr>
        <w:rFonts w:ascii="宋体" w:hAnsi="宋体"/>
        <w:sz w:val="21"/>
        <w:szCs w:val="21"/>
      </w:rPr>
      <w:fldChar w:fldCharType="end"/>
    </w:r>
  </w:p>
  <w:p w14:paraId="70CD3EC2">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B42D6">
    <w:pPr>
      <w:pStyle w:val="11"/>
      <w:framePr w:wrap="around" w:vAnchor="text" w:hAnchor="margin" w:xAlign="center" w:y="1"/>
      <w:rPr>
        <w:rStyle w:val="22"/>
      </w:rPr>
    </w:pPr>
    <w:r>
      <w:fldChar w:fldCharType="begin"/>
    </w:r>
    <w:r>
      <w:rPr>
        <w:rStyle w:val="22"/>
      </w:rPr>
      <w:instrText xml:space="preserve">PAGE  </w:instrText>
    </w:r>
    <w:r>
      <w:fldChar w:fldCharType="end"/>
    </w:r>
  </w:p>
  <w:p w14:paraId="1AD6F369">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E0738">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B2CFA">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C6B99">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mZmEzOWQ5OWVlMzdmMDZlNDc5YzE4YTc2YTljM2EifQ=="/>
  </w:docVars>
  <w:rsids>
    <w:rsidRoot w:val="0EE7356F"/>
    <w:rsid w:val="00021AF9"/>
    <w:rsid w:val="00276573"/>
    <w:rsid w:val="002F322B"/>
    <w:rsid w:val="005B2CB2"/>
    <w:rsid w:val="006D2A98"/>
    <w:rsid w:val="00A22BEC"/>
    <w:rsid w:val="00BA7CA7"/>
    <w:rsid w:val="00C26D46"/>
    <w:rsid w:val="00C852A5"/>
    <w:rsid w:val="00CA613C"/>
    <w:rsid w:val="00D26BDF"/>
    <w:rsid w:val="014669C4"/>
    <w:rsid w:val="021A4C89"/>
    <w:rsid w:val="024F59B3"/>
    <w:rsid w:val="02EF1E8A"/>
    <w:rsid w:val="035B751F"/>
    <w:rsid w:val="0385459C"/>
    <w:rsid w:val="03FA6D38"/>
    <w:rsid w:val="04B535E5"/>
    <w:rsid w:val="04C5695B"/>
    <w:rsid w:val="04CB2483"/>
    <w:rsid w:val="04D952CF"/>
    <w:rsid w:val="053F077B"/>
    <w:rsid w:val="0575419C"/>
    <w:rsid w:val="05900FD6"/>
    <w:rsid w:val="05976809"/>
    <w:rsid w:val="05BE1FE7"/>
    <w:rsid w:val="05C70E9C"/>
    <w:rsid w:val="05E82BC0"/>
    <w:rsid w:val="05EA06E6"/>
    <w:rsid w:val="063B7194"/>
    <w:rsid w:val="064A5629"/>
    <w:rsid w:val="078359ED"/>
    <w:rsid w:val="07C95455"/>
    <w:rsid w:val="07E77C02"/>
    <w:rsid w:val="080D2DB2"/>
    <w:rsid w:val="08454468"/>
    <w:rsid w:val="084F33CB"/>
    <w:rsid w:val="087B7D1C"/>
    <w:rsid w:val="087E0E2F"/>
    <w:rsid w:val="08960286"/>
    <w:rsid w:val="09B71ED9"/>
    <w:rsid w:val="09DD2ACA"/>
    <w:rsid w:val="0A0A1357"/>
    <w:rsid w:val="0A0D0E47"/>
    <w:rsid w:val="0A14667A"/>
    <w:rsid w:val="0A2A7C4B"/>
    <w:rsid w:val="0A572E95"/>
    <w:rsid w:val="0AAE17B2"/>
    <w:rsid w:val="0AD6392F"/>
    <w:rsid w:val="0B1638B4"/>
    <w:rsid w:val="0B4C2B78"/>
    <w:rsid w:val="0B8B296C"/>
    <w:rsid w:val="0BE1258C"/>
    <w:rsid w:val="0C840BD0"/>
    <w:rsid w:val="0DC36CBF"/>
    <w:rsid w:val="0DF77E44"/>
    <w:rsid w:val="0DFE5677"/>
    <w:rsid w:val="0E7B0A75"/>
    <w:rsid w:val="0E875539"/>
    <w:rsid w:val="0EE7356F"/>
    <w:rsid w:val="0F1E7653"/>
    <w:rsid w:val="0F343A19"/>
    <w:rsid w:val="0F6B6D3C"/>
    <w:rsid w:val="10181733"/>
    <w:rsid w:val="1025513D"/>
    <w:rsid w:val="10FA7AA6"/>
    <w:rsid w:val="110F7B9B"/>
    <w:rsid w:val="114710E3"/>
    <w:rsid w:val="114C494B"/>
    <w:rsid w:val="11AC53EA"/>
    <w:rsid w:val="11D34725"/>
    <w:rsid w:val="11F56D91"/>
    <w:rsid w:val="11FC011F"/>
    <w:rsid w:val="127557DC"/>
    <w:rsid w:val="12AD31C8"/>
    <w:rsid w:val="12C86AE5"/>
    <w:rsid w:val="12EA61CA"/>
    <w:rsid w:val="132F0080"/>
    <w:rsid w:val="139A7BF0"/>
    <w:rsid w:val="13BD743A"/>
    <w:rsid w:val="140B464A"/>
    <w:rsid w:val="143F0797"/>
    <w:rsid w:val="145C2F42"/>
    <w:rsid w:val="14764594"/>
    <w:rsid w:val="14860174"/>
    <w:rsid w:val="14AA3E63"/>
    <w:rsid w:val="14EA6D7D"/>
    <w:rsid w:val="16691AFB"/>
    <w:rsid w:val="167A39EC"/>
    <w:rsid w:val="16B54D41"/>
    <w:rsid w:val="16CF5E02"/>
    <w:rsid w:val="16FD6E31"/>
    <w:rsid w:val="17C5481D"/>
    <w:rsid w:val="1803121D"/>
    <w:rsid w:val="187D188E"/>
    <w:rsid w:val="196427C7"/>
    <w:rsid w:val="197467ED"/>
    <w:rsid w:val="19FC3E43"/>
    <w:rsid w:val="1A4C64F1"/>
    <w:rsid w:val="1AC94917"/>
    <w:rsid w:val="1AD1680D"/>
    <w:rsid w:val="1B416BA3"/>
    <w:rsid w:val="1B7862CE"/>
    <w:rsid w:val="1B8A22F8"/>
    <w:rsid w:val="1BA710FC"/>
    <w:rsid w:val="1C4B0FEC"/>
    <w:rsid w:val="1CAE4642"/>
    <w:rsid w:val="1CBD0FDA"/>
    <w:rsid w:val="1CFD4D4B"/>
    <w:rsid w:val="1D0D31E0"/>
    <w:rsid w:val="1D2B7B0B"/>
    <w:rsid w:val="1D792624"/>
    <w:rsid w:val="1D9236E6"/>
    <w:rsid w:val="1D964B6F"/>
    <w:rsid w:val="1E334EC9"/>
    <w:rsid w:val="1E7F010E"/>
    <w:rsid w:val="1E894B5E"/>
    <w:rsid w:val="1F736452"/>
    <w:rsid w:val="1F841754"/>
    <w:rsid w:val="1FC16504"/>
    <w:rsid w:val="1FC658C9"/>
    <w:rsid w:val="1FE56009"/>
    <w:rsid w:val="2058565A"/>
    <w:rsid w:val="20745325"/>
    <w:rsid w:val="207B4399"/>
    <w:rsid w:val="20837B0A"/>
    <w:rsid w:val="208F215E"/>
    <w:rsid w:val="20BE70AB"/>
    <w:rsid w:val="20EE195E"/>
    <w:rsid w:val="20F621DE"/>
    <w:rsid w:val="212705E9"/>
    <w:rsid w:val="2189764A"/>
    <w:rsid w:val="21BD32CF"/>
    <w:rsid w:val="21D249F9"/>
    <w:rsid w:val="21EE1107"/>
    <w:rsid w:val="220F3557"/>
    <w:rsid w:val="222D7E81"/>
    <w:rsid w:val="22552F34"/>
    <w:rsid w:val="22AC349C"/>
    <w:rsid w:val="22B3482A"/>
    <w:rsid w:val="22BD1205"/>
    <w:rsid w:val="22FD3CF7"/>
    <w:rsid w:val="23321BFA"/>
    <w:rsid w:val="233F60BE"/>
    <w:rsid w:val="234646FB"/>
    <w:rsid w:val="24440D7A"/>
    <w:rsid w:val="24C745BD"/>
    <w:rsid w:val="24E011DB"/>
    <w:rsid w:val="253B0B07"/>
    <w:rsid w:val="254E4396"/>
    <w:rsid w:val="256040C9"/>
    <w:rsid w:val="25641E0C"/>
    <w:rsid w:val="25B74631"/>
    <w:rsid w:val="26385F75"/>
    <w:rsid w:val="26D905D7"/>
    <w:rsid w:val="26E06263"/>
    <w:rsid w:val="26E825C8"/>
    <w:rsid w:val="2755105E"/>
    <w:rsid w:val="27B06DA2"/>
    <w:rsid w:val="281875F6"/>
    <w:rsid w:val="284952E9"/>
    <w:rsid w:val="28642123"/>
    <w:rsid w:val="28732366"/>
    <w:rsid w:val="29B6075C"/>
    <w:rsid w:val="29C4731D"/>
    <w:rsid w:val="29D25DF6"/>
    <w:rsid w:val="2A0155AC"/>
    <w:rsid w:val="2A02030B"/>
    <w:rsid w:val="2A901AAB"/>
    <w:rsid w:val="2B3C1135"/>
    <w:rsid w:val="2C1F2245"/>
    <w:rsid w:val="2C526E62"/>
    <w:rsid w:val="2CE5527B"/>
    <w:rsid w:val="2D421B81"/>
    <w:rsid w:val="2D8F7C42"/>
    <w:rsid w:val="2D964B2C"/>
    <w:rsid w:val="2DE47F8D"/>
    <w:rsid w:val="2EE67D35"/>
    <w:rsid w:val="2EEC5705"/>
    <w:rsid w:val="2EF35FAE"/>
    <w:rsid w:val="2EFF6701"/>
    <w:rsid w:val="2F0539EF"/>
    <w:rsid w:val="2F2F5238"/>
    <w:rsid w:val="2FCA31B3"/>
    <w:rsid w:val="304545E8"/>
    <w:rsid w:val="308C2216"/>
    <w:rsid w:val="3095556F"/>
    <w:rsid w:val="309A0DD7"/>
    <w:rsid w:val="30CB71E3"/>
    <w:rsid w:val="30F44D3D"/>
    <w:rsid w:val="315C42DF"/>
    <w:rsid w:val="31B672C5"/>
    <w:rsid w:val="31DC5ED2"/>
    <w:rsid w:val="324C7EAF"/>
    <w:rsid w:val="32582CF8"/>
    <w:rsid w:val="32911D66"/>
    <w:rsid w:val="32FA3DAF"/>
    <w:rsid w:val="3339603D"/>
    <w:rsid w:val="33421C25"/>
    <w:rsid w:val="336851BD"/>
    <w:rsid w:val="33C30645"/>
    <w:rsid w:val="33C85C5B"/>
    <w:rsid w:val="341A4D89"/>
    <w:rsid w:val="34627E5E"/>
    <w:rsid w:val="346A44E3"/>
    <w:rsid w:val="34C629E4"/>
    <w:rsid w:val="34C97131"/>
    <w:rsid w:val="35100415"/>
    <w:rsid w:val="353C06AF"/>
    <w:rsid w:val="354459C3"/>
    <w:rsid w:val="35942299"/>
    <w:rsid w:val="362B532D"/>
    <w:rsid w:val="362F1FC2"/>
    <w:rsid w:val="36B8487B"/>
    <w:rsid w:val="36F14D82"/>
    <w:rsid w:val="37DC7F27"/>
    <w:rsid w:val="384A7DD1"/>
    <w:rsid w:val="38E5105E"/>
    <w:rsid w:val="38FB43DD"/>
    <w:rsid w:val="392F4087"/>
    <w:rsid w:val="39391EB4"/>
    <w:rsid w:val="3949339B"/>
    <w:rsid w:val="39604016"/>
    <w:rsid w:val="39934616"/>
    <w:rsid w:val="3A712BA9"/>
    <w:rsid w:val="3ACD3B57"/>
    <w:rsid w:val="3B2C087E"/>
    <w:rsid w:val="3BA15622"/>
    <w:rsid w:val="3BD11425"/>
    <w:rsid w:val="3BFA6BCE"/>
    <w:rsid w:val="3C12216A"/>
    <w:rsid w:val="3C3BCF14"/>
    <w:rsid w:val="3CA31014"/>
    <w:rsid w:val="3D2263DC"/>
    <w:rsid w:val="3D5D5666"/>
    <w:rsid w:val="3D600CB3"/>
    <w:rsid w:val="3DCF90A8"/>
    <w:rsid w:val="3DF02037"/>
    <w:rsid w:val="3E0930F8"/>
    <w:rsid w:val="3E4E4FAF"/>
    <w:rsid w:val="3E916561"/>
    <w:rsid w:val="3E9C21BE"/>
    <w:rsid w:val="3EAF2E75"/>
    <w:rsid w:val="3FBD419A"/>
    <w:rsid w:val="3FE47979"/>
    <w:rsid w:val="3FF57F95"/>
    <w:rsid w:val="3FFF3E39"/>
    <w:rsid w:val="40324B88"/>
    <w:rsid w:val="40BE2DE9"/>
    <w:rsid w:val="40E816EB"/>
    <w:rsid w:val="41540F3D"/>
    <w:rsid w:val="415427A4"/>
    <w:rsid w:val="415B707F"/>
    <w:rsid w:val="41872CB2"/>
    <w:rsid w:val="418A4550"/>
    <w:rsid w:val="419B7B5A"/>
    <w:rsid w:val="41A25D3E"/>
    <w:rsid w:val="420C31B7"/>
    <w:rsid w:val="42623636"/>
    <w:rsid w:val="427E2307"/>
    <w:rsid w:val="42F06635"/>
    <w:rsid w:val="43122A4F"/>
    <w:rsid w:val="432602A9"/>
    <w:rsid w:val="433B4453"/>
    <w:rsid w:val="43505326"/>
    <w:rsid w:val="4451295E"/>
    <w:rsid w:val="446C618F"/>
    <w:rsid w:val="44AE0556"/>
    <w:rsid w:val="452A0524"/>
    <w:rsid w:val="45BB73CE"/>
    <w:rsid w:val="4642529F"/>
    <w:rsid w:val="4689127A"/>
    <w:rsid w:val="469320F9"/>
    <w:rsid w:val="471843AC"/>
    <w:rsid w:val="47321912"/>
    <w:rsid w:val="47E56984"/>
    <w:rsid w:val="47EF335F"/>
    <w:rsid w:val="48270D4B"/>
    <w:rsid w:val="482D09FE"/>
    <w:rsid w:val="483849EC"/>
    <w:rsid w:val="489D100D"/>
    <w:rsid w:val="48AE4FC8"/>
    <w:rsid w:val="48D12A9A"/>
    <w:rsid w:val="48E85E69"/>
    <w:rsid w:val="493F5C0B"/>
    <w:rsid w:val="495A5150"/>
    <w:rsid w:val="498D72D3"/>
    <w:rsid w:val="4A183041"/>
    <w:rsid w:val="4A981A8C"/>
    <w:rsid w:val="4AA541A9"/>
    <w:rsid w:val="4B1D4687"/>
    <w:rsid w:val="4B23188A"/>
    <w:rsid w:val="4B445E30"/>
    <w:rsid w:val="4B885FA4"/>
    <w:rsid w:val="4BBD5522"/>
    <w:rsid w:val="4BC114B6"/>
    <w:rsid w:val="4CA30BBC"/>
    <w:rsid w:val="4CA84FB5"/>
    <w:rsid w:val="4D141464"/>
    <w:rsid w:val="4D183E14"/>
    <w:rsid w:val="4D360ADE"/>
    <w:rsid w:val="4D453A21"/>
    <w:rsid w:val="4DF162BE"/>
    <w:rsid w:val="4E092CA1"/>
    <w:rsid w:val="4E21623C"/>
    <w:rsid w:val="4E341918"/>
    <w:rsid w:val="4E4B5067"/>
    <w:rsid w:val="4E5E05A7"/>
    <w:rsid w:val="4ECF3EEA"/>
    <w:rsid w:val="4F443A06"/>
    <w:rsid w:val="4F883789"/>
    <w:rsid w:val="4FBF5D0D"/>
    <w:rsid w:val="4FFF6735"/>
    <w:rsid w:val="500C0BFF"/>
    <w:rsid w:val="50923421"/>
    <w:rsid w:val="509B22D6"/>
    <w:rsid w:val="51256BBA"/>
    <w:rsid w:val="515661FD"/>
    <w:rsid w:val="5160707C"/>
    <w:rsid w:val="5199789B"/>
    <w:rsid w:val="51B81DAF"/>
    <w:rsid w:val="51E732F9"/>
    <w:rsid w:val="5251604E"/>
    <w:rsid w:val="525627B3"/>
    <w:rsid w:val="5285323E"/>
    <w:rsid w:val="52B275EA"/>
    <w:rsid w:val="52C8137C"/>
    <w:rsid w:val="52CF44B9"/>
    <w:rsid w:val="532A16EF"/>
    <w:rsid w:val="53447785"/>
    <w:rsid w:val="53490B8B"/>
    <w:rsid w:val="53760DD8"/>
    <w:rsid w:val="538F69F8"/>
    <w:rsid w:val="53B849A5"/>
    <w:rsid w:val="53EC2E48"/>
    <w:rsid w:val="545B47AD"/>
    <w:rsid w:val="54660E4D"/>
    <w:rsid w:val="54B73456"/>
    <w:rsid w:val="54C86C1B"/>
    <w:rsid w:val="54DC2BC5"/>
    <w:rsid w:val="54E87AB4"/>
    <w:rsid w:val="56576C9F"/>
    <w:rsid w:val="565F3DA6"/>
    <w:rsid w:val="56680EAC"/>
    <w:rsid w:val="57392849"/>
    <w:rsid w:val="57681EC2"/>
    <w:rsid w:val="577279A8"/>
    <w:rsid w:val="57AE7AB7"/>
    <w:rsid w:val="57BB500C"/>
    <w:rsid w:val="582D5135"/>
    <w:rsid w:val="58366D88"/>
    <w:rsid w:val="585A336B"/>
    <w:rsid w:val="58711B6E"/>
    <w:rsid w:val="58ED38EB"/>
    <w:rsid w:val="591E1CF6"/>
    <w:rsid w:val="592661DA"/>
    <w:rsid w:val="598B6C60"/>
    <w:rsid w:val="59955EFE"/>
    <w:rsid w:val="59BD32BD"/>
    <w:rsid w:val="59D6612D"/>
    <w:rsid w:val="5AB126F6"/>
    <w:rsid w:val="5AF76A39"/>
    <w:rsid w:val="5B2F01EA"/>
    <w:rsid w:val="5B653C0C"/>
    <w:rsid w:val="5B8816A9"/>
    <w:rsid w:val="5C961BA3"/>
    <w:rsid w:val="5CF35248"/>
    <w:rsid w:val="5D0B07E3"/>
    <w:rsid w:val="5D1D4073"/>
    <w:rsid w:val="5D72616D"/>
    <w:rsid w:val="5E1177D8"/>
    <w:rsid w:val="5E4F2952"/>
    <w:rsid w:val="5E5355E6"/>
    <w:rsid w:val="5E622685"/>
    <w:rsid w:val="5E9842F9"/>
    <w:rsid w:val="5EA7382C"/>
    <w:rsid w:val="5EE27322"/>
    <w:rsid w:val="5F5F6BC4"/>
    <w:rsid w:val="5FC31EA8"/>
    <w:rsid w:val="5FEFDAB6"/>
    <w:rsid w:val="5FF31ECC"/>
    <w:rsid w:val="60191C22"/>
    <w:rsid w:val="604D2EC1"/>
    <w:rsid w:val="60B31005"/>
    <w:rsid w:val="626D1013"/>
    <w:rsid w:val="62724E61"/>
    <w:rsid w:val="62FC29F2"/>
    <w:rsid w:val="63805CD8"/>
    <w:rsid w:val="639C03E7"/>
    <w:rsid w:val="639D6B69"/>
    <w:rsid w:val="63F012B0"/>
    <w:rsid w:val="642532F0"/>
    <w:rsid w:val="649E1F3D"/>
    <w:rsid w:val="64AD03D2"/>
    <w:rsid w:val="64E252D6"/>
    <w:rsid w:val="64F63B27"/>
    <w:rsid w:val="65605444"/>
    <w:rsid w:val="65A96DEB"/>
    <w:rsid w:val="660D737A"/>
    <w:rsid w:val="662E111E"/>
    <w:rsid w:val="66494B50"/>
    <w:rsid w:val="66521231"/>
    <w:rsid w:val="66631C6B"/>
    <w:rsid w:val="666E5BBA"/>
    <w:rsid w:val="6697476C"/>
    <w:rsid w:val="66C370E1"/>
    <w:rsid w:val="66C537B1"/>
    <w:rsid w:val="670544F5"/>
    <w:rsid w:val="67B13D35"/>
    <w:rsid w:val="67B33F51"/>
    <w:rsid w:val="693C274A"/>
    <w:rsid w:val="697B0A9F"/>
    <w:rsid w:val="69BE7D36"/>
    <w:rsid w:val="69F75A58"/>
    <w:rsid w:val="6A0762DE"/>
    <w:rsid w:val="6A0E546F"/>
    <w:rsid w:val="6A97057F"/>
    <w:rsid w:val="6AF44665"/>
    <w:rsid w:val="6B1B7E43"/>
    <w:rsid w:val="6B43383E"/>
    <w:rsid w:val="6B6D6371"/>
    <w:rsid w:val="6C282FF6"/>
    <w:rsid w:val="6C365F4F"/>
    <w:rsid w:val="6CB314EA"/>
    <w:rsid w:val="6CD24E7A"/>
    <w:rsid w:val="6DED177E"/>
    <w:rsid w:val="6DF64B98"/>
    <w:rsid w:val="6E3F5754"/>
    <w:rsid w:val="6EAD16FA"/>
    <w:rsid w:val="6EC66318"/>
    <w:rsid w:val="6EF6DC26"/>
    <w:rsid w:val="6F4B2CC1"/>
    <w:rsid w:val="6F4F4560"/>
    <w:rsid w:val="6F5F7B1D"/>
    <w:rsid w:val="6F6D70DC"/>
    <w:rsid w:val="6F887A72"/>
    <w:rsid w:val="6FBE7937"/>
    <w:rsid w:val="6FDE3B35"/>
    <w:rsid w:val="6FE27182"/>
    <w:rsid w:val="70927424"/>
    <w:rsid w:val="70A42689"/>
    <w:rsid w:val="70E32B00"/>
    <w:rsid w:val="714A76D4"/>
    <w:rsid w:val="7240062B"/>
    <w:rsid w:val="72C139C6"/>
    <w:rsid w:val="72C94D71"/>
    <w:rsid w:val="730150CD"/>
    <w:rsid w:val="73243F55"/>
    <w:rsid w:val="732E6B82"/>
    <w:rsid w:val="73435B1B"/>
    <w:rsid w:val="73593BFF"/>
    <w:rsid w:val="7374265A"/>
    <w:rsid w:val="73AA6208"/>
    <w:rsid w:val="74732A9E"/>
    <w:rsid w:val="75150D46"/>
    <w:rsid w:val="756920F3"/>
    <w:rsid w:val="758D193E"/>
    <w:rsid w:val="75A5137D"/>
    <w:rsid w:val="766279AF"/>
    <w:rsid w:val="76FB397B"/>
    <w:rsid w:val="773329B9"/>
    <w:rsid w:val="77BA78AB"/>
    <w:rsid w:val="77E048EF"/>
    <w:rsid w:val="783E7867"/>
    <w:rsid w:val="78751DED"/>
    <w:rsid w:val="78900F80"/>
    <w:rsid w:val="79017606"/>
    <w:rsid w:val="79246A5D"/>
    <w:rsid w:val="792E51E6"/>
    <w:rsid w:val="79861F63"/>
    <w:rsid w:val="79E104AA"/>
    <w:rsid w:val="79FC3536"/>
    <w:rsid w:val="7A173ECC"/>
    <w:rsid w:val="7A6E57C6"/>
    <w:rsid w:val="7AF20495"/>
    <w:rsid w:val="7B600BFF"/>
    <w:rsid w:val="7B9F686F"/>
    <w:rsid w:val="7BC2255D"/>
    <w:rsid w:val="7BEBE265"/>
    <w:rsid w:val="7C1A350D"/>
    <w:rsid w:val="7C3E1BE4"/>
    <w:rsid w:val="7C492337"/>
    <w:rsid w:val="7C9A0DE4"/>
    <w:rsid w:val="7CC52305"/>
    <w:rsid w:val="7CFEBDCE"/>
    <w:rsid w:val="7D5633DA"/>
    <w:rsid w:val="7DB303AF"/>
    <w:rsid w:val="7E4F76B1"/>
    <w:rsid w:val="7EBE160C"/>
    <w:rsid w:val="7EE50A3C"/>
    <w:rsid w:val="7F0A04A3"/>
    <w:rsid w:val="7F1255AA"/>
    <w:rsid w:val="7FEF1C03"/>
    <w:rsid w:val="F7FEB874"/>
    <w:rsid w:val="FED73DA7"/>
    <w:rsid w:val="FEE700A3"/>
    <w:rsid w:val="FF5AA31D"/>
    <w:rsid w:val="FFF6C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iPriority="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20">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4">
    <w:name w:val="annotation text"/>
    <w:basedOn w:val="1"/>
    <w:link w:val="28"/>
    <w:qFormat/>
    <w:uiPriority w:val="99"/>
    <w:pPr>
      <w:jc w:val="left"/>
    </w:pPr>
  </w:style>
  <w:style w:type="paragraph" w:styleId="5">
    <w:name w:val="Body Text 3"/>
    <w:basedOn w:val="1"/>
    <w:qFormat/>
    <w:uiPriority w:val="0"/>
    <w:pPr>
      <w:spacing w:after="120"/>
    </w:pPr>
    <w:rPr>
      <w:sz w:val="16"/>
      <w:szCs w:val="16"/>
    </w:rPr>
  </w:style>
  <w:style w:type="paragraph" w:styleId="6">
    <w:name w:val="Body Text"/>
    <w:basedOn w:val="1"/>
    <w:next w:val="7"/>
    <w:qFormat/>
    <w:uiPriority w:val="0"/>
    <w:pPr>
      <w:spacing w:after="120"/>
    </w:pPr>
  </w:style>
  <w:style w:type="paragraph" w:styleId="7">
    <w:name w:val="Subtitle"/>
    <w:basedOn w:val="1"/>
    <w:next w:val="1"/>
    <w:qFormat/>
    <w:uiPriority w:val="0"/>
    <w:pPr>
      <w:spacing w:before="240" w:beforeLines="0" w:after="60" w:afterLines="0" w:line="312" w:lineRule="auto"/>
      <w:jc w:val="center"/>
      <w:outlineLvl w:val="1"/>
    </w:pPr>
    <w:rPr>
      <w:rFonts w:ascii="Cambria" w:hAnsi="Cambria"/>
      <w:b/>
      <w:bCs/>
      <w:kern w:val="28"/>
      <w:sz w:val="32"/>
      <w:szCs w:val="32"/>
    </w:rPr>
  </w:style>
  <w:style w:type="paragraph" w:styleId="8">
    <w:name w:val="Body Text Indent"/>
    <w:basedOn w:val="1"/>
    <w:next w:val="9"/>
    <w:unhideWhenUsed/>
    <w:qFormat/>
    <w:uiPriority w:val="0"/>
    <w:pPr>
      <w:spacing w:after="120"/>
      <w:ind w:left="420" w:leftChars="200"/>
    </w:pPr>
    <w:rPr>
      <w:kern w:val="0"/>
      <w:sz w:val="20"/>
      <w:szCs w:val="24"/>
    </w:rPr>
  </w:style>
  <w:style w:type="paragraph" w:styleId="9">
    <w:name w:val="envelope return"/>
    <w:basedOn w:val="1"/>
    <w:qFormat/>
    <w:uiPriority w:val="0"/>
    <w:pPr>
      <w:snapToGrid w:val="0"/>
    </w:pPr>
    <w:rPr>
      <w:rFonts w:ascii="Arial" w:hAnsi="Arial"/>
    </w:rPr>
  </w:style>
  <w:style w:type="paragraph" w:styleId="10">
    <w:name w:val="Balloon Text"/>
    <w:basedOn w:val="1"/>
    <w:link w:val="29"/>
    <w:unhideWhenUsed/>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semiHidden/>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style>
  <w:style w:type="paragraph" w:styleId="16">
    <w:name w:val="Normal (Web)"/>
    <w:basedOn w:val="1"/>
    <w:qFormat/>
    <w:uiPriority w:val="0"/>
    <w:rPr>
      <w:sz w:val="24"/>
    </w:rPr>
  </w:style>
  <w:style w:type="paragraph" w:styleId="17">
    <w:name w:val="Title"/>
    <w:basedOn w:val="1"/>
    <w:next w:val="1"/>
    <w:qFormat/>
    <w:uiPriority w:val="0"/>
    <w:pPr>
      <w:spacing w:before="240" w:after="60"/>
      <w:jc w:val="center"/>
      <w:outlineLvl w:val="0"/>
    </w:pPr>
    <w:rPr>
      <w:rFonts w:ascii="Cambria" w:hAnsi="Cambria"/>
      <w:b/>
      <w:bCs/>
      <w:sz w:val="32"/>
      <w:szCs w:val="32"/>
    </w:rPr>
  </w:style>
  <w:style w:type="paragraph" w:styleId="18">
    <w:name w:val="Body Text First Indent 2"/>
    <w:basedOn w:val="8"/>
    <w:qFormat/>
    <w:uiPriority w:val="0"/>
    <w:pPr>
      <w:spacing w:line="440" w:lineRule="exact"/>
      <w:ind w:firstLine="420" w:firstLineChars="200"/>
    </w:pPr>
    <w:rPr>
      <w:sz w:val="24"/>
      <w:szCs w:val="30"/>
    </w:rPr>
  </w:style>
  <w:style w:type="character" w:styleId="21">
    <w:name w:val="Strong"/>
    <w:basedOn w:val="20"/>
    <w:qFormat/>
    <w:uiPriority w:val="0"/>
    <w:rPr>
      <w:b/>
    </w:rPr>
  </w:style>
  <w:style w:type="character" w:styleId="22">
    <w:name w:val="page number"/>
    <w:basedOn w:val="20"/>
    <w:qFormat/>
    <w:uiPriority w:val="0"/>
  </w:style>
  <w:style w:type="character" w:styleId="23">
    <w:name w:val="annotation reference"/>
    <w:basedOn w:val="20"/>
    <w:unhideWhenUsed/>
    <w:qFormat/>
    <w:uiPriority w:val="99"/>
    <w:rPr>
      <w:sz w:val="21"/>
      <w:szCs w:val="21"/>
    </w:rPr>
  </w:style>
  <w:style w:type="paragraph" w:customStyle="1" w:styleId="24">
    <w:name w:val="标题 5（有编号）（绿盟科技）"/>
    <w:basedOn w:val="1"/>
    <w:next w:val="25"/>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27">
    <w:name w:val="reader-word-layer reader-word-s4-1"/>
    <w:basedOn w:val="1"/>
    <w:qFormat/>
    <w:uiPriority w:val="0"/>
    <w:pPr>
      <w:widowControl/>
      <w:spacing w:before="100" w:beforeAutospacing="1" w:after="100" w:afterAutospacing="1"/>
      <w:jc w:val="left"/>
    </w:pPr>
    <w:rPr>
      <w:rFonts w:ascii="宋体" w:hAnsi="宋体" w:cs="宋体"/>
      <w:kern w:val="0"/>
      <w:sz w:val="24"/>
    </w:rPr>
  </w:style>
  <w:style w:type="character" w:customStyle="1" w:styleId="28">
    <w:name w:val="批注文字 字符"/>
    <w:basedOn w:val="20"/>
    <w:link w:val="4"/>
    <w:qFormat/>
    <w:uiPriority w:val="99"/>
    <w:rPr>
      <w:kern w:val="2"/>
      <w:sz w:val="21"/>
      <w:szCs w:val="24"/>
    </w:rPr>
  </w:style>
  <w:style w:type="character" w:customStyle="1" w:styleId="29">
    <w:name w:val="批注框文本 字符"/>
    <w:basedOn w:val="20"/>
    <w:link w:val="10"/>
    <w:semiHidden/>
    <w:qFormat/>
    <w:uiPriority w:val="0"/>
    <w:rPr>
      <w:kern w:val="2"/>
      <w:sz w:val="18"/>
      <w:szCs w:val="18"/>
    </w:rPr>
  </w:style>
  <w:style w:type="paragraph" w:customStyle="1" w:styleId="30">
    <w:name w:val="正文首行缩进两字符"/>
    <w:basedOn w:val="1"/>
    <w:qFormat/>
    <w:uiPriority w:val="0"/>
    <w:pPr>
      <w:spacing w:line="360" w:lineRule="auto"/>
      <w:ind w:firstLine="200" w:firstLineChars="200"/>
    </w:pPr>
    <w:rPr>
      <w:rFonts w:ascii="宋体"/>
      <w:kern w:val="0"/>
      <w:sz w:val="34"/>
      <w:szCs w:val="24"/>
    </w:rPr>
  </w:style>
  <w:style w:type="paragraph" w:customStyle="1" w:styleId="31">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19</Pages>
  <Words>5154</Words>
  <Characters>5256</Characters>
  <Lines>52</Lines>
  <Paragraphs>14</Paragraphs>
  <TotalTime>10</TotalTime>
  <ScaleCrop>false</ScaleCrop>
  <LinksUpToDate>false</LinksUpToDate>
  <CharactersWithSpaces>5525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2020-05-07T13:23:00Z</dcterms:created>
  <dc:creator>h</dc:creator>
  <cp:lastModifiedBy>谢</cp:lastModifiedBy>
  <cp:lastPrinted>2024-05-31T02:47:00Z</cp:lastPrinted>
  <dcterms:modified xsi:type="dcterms:W3CDTF">2025-06-11T08:14:52Z</dcterms:modified>
  <dc:title>宜宾市第一人民医院2020年-2023年度招标代理机构</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2F6BE532B4924BDB8F7AF55FAEF290C9_13</vt:lpwstr>
  </property>
  <property fmtid="{D5CDD505-2E9C-101B-9397-08002B2CF9AE}" pid="4" name="KSOTemplateDocerSaveRecord">
    <vt:lpwstr>eyJoZGlkIjoiODE3Njc2MjkzYjk4NmI0ODg3MDNlZjllOTRkZGEzMjUiLCJ1c2VySWQiOiI0MzgwMDM5MTEifQ==</vt:lpwstr>
  </property>
</Properties>
</file>