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西昌民族幼儿师范高等专科学校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财务收支、实施项目、科研经费审计项目服务技术要求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spacing w:line="560" w:lineRule="exact"/>
        <w:ind w:firstLine="640" w:firstLineChars="200"/>
        <w:jc w:val="both"/>
        <w:rPr>
          <w:rFonts w:hint="default" w:ascii="Times New Roman" w:hAnsi="Times New Roman" w:eastAsia="黑体" w:cs="Times New Roman"/>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年度财务收支审计</w:t>
      </w:r>
    </w:p>
    <w:p>
      <w:pPr>
        <w:spacing w:line="52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default" w:ascii="楷体" w:hAnsi="楷体" w:eastAsia="楷体" w:cs="楷体"/>
          <w:sz w:val="32"/>
          <w:szCs w:val="32"/>
          <w:lang w:eastAsia="zh-CN"/>
        </w:rPr>
        <w:t>审计范围</w:t>
      </w:r>
      <w:r>
        <w:rPr>
          <w:rFonts w:hint="eastAsia" w:ascii="楷体" w:hAnsi="楷体" w:eastAsia="楷体" w:cs="楷体"/>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年度学校财务收入与支出情况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审计资金</w:t>
      </w: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5804.65</w:t>
      </w:r>
      <w:r>
        <w:rPr>
          <w:rFonts w:hint="default" w:ascii="Times New Roman" w:hAnsi="Times New Roman" w:eastAsia="仿宋_GB2312" w:cs="Times New Roman"/>
          <w:sz w:val="32"/>
          <w:szCs w:val="32"/>
        </w:rPr>
        <w:t>万。</w:t>
      </w:r>
    </w:p>
    <w:p>
      <w:pPr>
        <w:spacing w:line="52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lang w:eastAsia="zh-CN"/>
        </w:rPr>
        <w:t>审计目标</w:t>
      </w:r>
      <w:r>
        <w:rPr>
          <w:rFonts w:hint="eastAsia" w:ascii="楷体" w:hAnsi="楷体" w:eastAsia="楷体" w:cs="楷体"/>
          <w:sz w:val="32"/>
          <w:szCs w:val="32"/>
          <w:lang w:eastAsia="zh-CN"/>
        </w:rPr>
        <w:t>。</w:t>
      </w:r>
      <w:r>
        <w:rPr>
          <w:rFonts w:hint="default" w:ascii="Times New Roman" w:hAnsi="Times New Roman" w:eastAsia="仿宋_GB2312" w:cs="Times New Roman"/>
          <w:sz w:val="32"/>
          <w:szCs w:val="32"/>
        </w:rPr>
        <w:t>对学校202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财政收入（包括财政预算拨款、中央省州奖补资金、非税收入）等资金的收支情况进行审计。在审计中发现问题并提出整改建议，通过整改进一步促进学校资金管理规范，确保财务收支真实、合法，切实提高资金使用效率，防止流失和浪费。</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lang w:eastAsia="zh-CN"/>
        </w:rPr>
        <w:t>审计对象和内容</w:t>
      </w:r>
      <w:r>
        <w:rPr>
          <w:rFonts w:hint="eastAsia" w:ascii="楷体" w:hAnsi="楷体" w:eastAsia="楷体" w:cs="楷体"/>
          <w:sz w:val="32"/>
          <w:szCs w:val="32"/>
          <w:lang w:eastAsia="zh-CN"/>
        </w:rPr>
        <w:t>。</w:t>
      </w:r>
      <w:r>
        <w:rPr>
          <w:rFonts w:hint="default" w:ascii="Times New Roman" w:hAnsi="Times New Roman" w:eastAsia="仿宋_GB2312" w:cs="Times New Roman"/>
          <w:sz w:val="32"/>
          <w:szCs w:val="32"/>
        </w:rPr>
        <w:t>对学校年度财务收支情况进行全覆盖审计，重点关注下列内容：</w:t>
      </w:r>
      <w:r>
        <w:rPr>
          <w:rFonts w:hint="eastAsia" w:ascii="黑体" w:hAnsi="黑体" w:eastAsia="黑体" w:cs="黑体"/>
          <w:sz w:val="32"/>
          <w:szCs w:val="32"/>
          <w:lang w:val="en-US" w:eastAsia="zh-CN"/>
        </w:rPr>
        <w:t>一是</w:t>
      </w:r>
      <w:r>
        <w:rPr>
          <w:rFonts w:hint="default" w:ascii="Times New Roman" w:hAnsi="Times New Roman" w:eastAsia="仿宋_GB2312" w:cs="Times New Roman"/>
          <w:sz w:val="32"/>
          <w:szCs w:val="32"/>
        </w:rPr>
        <w:t>预算收入。重点审查各项收入是否全部入账并按规定纳入预算管理，统一使用，有无隐瞒、转移收入的问题；预算的制定是否结合学校实际；预算的日常执行管理制度是否完善；预算的执行和计划偏差调整是否</w:t>
      </w:r>
      <w:r>
        <w:rPr>
          <w:rFonts w:hint="eastAsia" w:ascii="Times New Roman" w:hAnsi="Times New Roman" w:eastAsia="仿宋_GB2312" w:cs="Times New Roman"/>
          <w:sz w:val="32"/>
          <w:szCs w:val="32"/>
          <w:lang w:eastAsia="zh-CN"/>
        </w:rPr>
        <w:t>符合相关规定</w:t>
      </w:r>
      <w:r>
        <w:rPr>
          <w:rFonts w:hint="default" w:ascii="Times New Roman" w:hAnsi="Times New Roman" w:eastAsia="仿宋_GB2312" w:cs="Times New Roman"/>
          <w:sz w:val="32"/>
          <w:szCs w:val="32"/>
        </w:rPr>
        <w:t>；是否存在“三重一大”事项未经学校领导班子集体研究决定，未严格落实主要领导末位表态制度的情况。依法取得的行政事业性收费、国有资产(资源)有偿使用收入和处置等非税收入，是否按规定及时足额上缴财政，有无隐瞒、截留、滞留、挤占、挪用、坐支、私分非税收入或存入其他账户，以及违规设立非税收入过渡户，违规转移到所属工会、培训中心等单位使用等问题；收入体外循环、非税收入在代管款项中列收列支、未经许可擅自收费、超标准收费，以及擅自改变收费项目、对象、标准乱收费等问题。审查有无违反法律法规及其他有关规定，将应列入而未列入符合规定的单位账簿的各项资金设立“小金库”情况。审查预算收入的预算与决算的差异及原因分析。</w:t>
      </w:r>
      <w:r>
        <w:rPr>
          <w:rFonts w:hint="eastAsia" w:ascii="黑体" w:hAnsi="黑体" w:eastAsia="黑体" w:cs="黑体"/>
          <w:sz w:val="32"/>
          <w:szCs w:val="32"/>
          <w:lang w:val="en-US" w:eastAsia="zh-CN"/>
        </w:rPr>
        <w:t>二是</w:t>
      </w:r>
      <w:r>
        <w:rPr>
          <w:rFonts w:hint="default" w:ascii="Times New Roman" w:hAnsi="Times New Roman" w:eastAsia="仿宋_GB2312" w:cs="Times New Roman"/>
          <w:sz w:val="32"/>
          <w:szCs w:val="32"/>
        </w:rPr>
        <w:t>预算支出。重点审查是否按预算和规定的用途、标准使用经费，有无突破预算、挪用经费、提高开支标准、扩大开支范围、挥霍浪费等问题；超预算或无预算安排支出，虚列支出、转移或者套取预算资金，转嫁支出等问题；违规在专项资金中开支工资福利、津贴补贴，不按规定用途使用和核算，截留、挤占、挪用专项资金等问题。有无违反规定超规格、超标准接待问题；有无虚报、冒领手段骗取会议费，虚报会议人数、天数等进行报销，违规扩大会议费开支范围、擅自提高会议费开支标准，在非定点饭店或严禁召开会议的风景名胜区召开会议，违规转嫁或摊派会议费用以及报销与会议无关费用等问题；有无借会议、培训、展览、学习、调研、考察等名义组织会餐、安排宴请、公款旅游以及在会议费、培训费中列支公务接待费等与会议、培训无关的支出等问题；劳务费</w:t>
      </w:r>
      <w:r>
        <w:rPr>
          <w:rFonts w:hint="eastAsia" w:ascii="Times New Roman" w:hAnsi="Times New Roman" w:eastAsia="仿宋_GB2312" w:cs="Times New Roman"/>
          <w:sz w:val="32"/>
          <w:szCs w:val="32"/>
          <w:lang w:eastAsia="zh-CN"/>
        </w:rPr>
        <w:t>、专家授课费</w:t>
      </w:r>
      <w:r>
        <w:rPr>
          <w:rFonts w:hint="default" w:ascii="Times New Roman" w:hAnsi="Times New Roman" w:eastAsia="仿宋_GB2312" w:cs="Times New Roman"/>
          <w:sz w:val="32"/>
          <w:szCs w:val="32"/>
        </w:rPr>
        <w:t>等容易出现监管漏洞的各项支出是否符合政策要求。</w:t>
      </w:r>
      <w:r>
        <w:rPr>
          <w:rFonts w:hint="eastAsia" w:ascii="黑体" w:hAnsi="黑体" w:eastAsia="黑体" w:cs="黑体"/>
          <w:sz w:val="32"/>
          <w:szCs w:val="32"/>
          <w:lang w:val="en-US" w:eastAsia="zh-CN"/>
        </w:rPr>
        <w:t>三是</w:t>
      </w:r>
      <w:r>
        <w:rPr>
          <w:rFonts w:hint="default" w:ascii="Times New Roman" w:hAnsi="Times New Roman" w:eastAsia="仿宋_GB2312" w:cs="Times New Roman"/>
          <w:sz w:val="32"/>
          <w:szCs w:val="32"/>
        </w:rPr>
        <w:t>票据使用。重点审查违反票据管理规定用财政票据收取经营服务性收费、往来结算票据使用不规范、转让、出借、代开、非法买卖、擅自销毁、涂改财政票据、使用非法票据或者不按规定开具财政票据、使用过期的财政票据、相互串用各种财政票据、财政票据替代税务发票等问题。</w:t>
      </w:r>
      <w:r>
        <w:rPr>
          <w:rFonts w:hint="eastAsia" w:ascii="黑体" w:hAnsi="黑体" w:eastAsia="黑体" w:cs="黑体"/>
          <w:sz w:val="32"/>
          <w:szCs w:val="32"/>
          <w:lang w:val="en-US" w:eastAsia="zh-CN"/>
        </w:rPr>
        <w:t>四是</w:t>
      </w:r>
      <w:r>
        <w:rPr>
          <w:rFonts w:hint="default" w:ascii="Times New Roman" w:hAnsi="Times New Roman" w:eastAsia="仿宋_GB2312" w:cs="Times New Roman"/>
          <w:sz w:val="32"/>
          <w:szCs w:val="32"/>
        </w:rPr>
        <w:t>往来资金。重点审查各种暂存、暂付、代收、代扣、代缴等款项核对、清算、清理不及时，跨年度结算或长期挂账，个人借用公款用于从事经营、非公支出，违规将各项收支在往来科目中核算等问题。</w:t>
      </w:r>
      <w:r>
        <w:rPr>
          <w:rFonts w:hint="eastAsia" w:ascii="黑体" w:hAnsi="黑体" w:eastAsia="黑体" w:cs="黑体"/>
          <w:sz w:val="32"/>
          <w:szCs w:val="32"/>
          <w:lang w:val="en-US" w:eastAsia="zh-CN"/>
        </w:rPr>
        <w:t>五是</w:t>
      </w:r>
      <w:r>
        <w:rPr>
          <w:rFonts w:hint="default" w:ascii="Times New Roman" w:hAnsi="Times New Roman" w:eastAsia="仿宋_GB2312" w:cs="Times New Roman"/>
          <w:sz w:val="32"/>
          <w:szCs w:val="32"/>
        </w:rPr>
        <w:t>三公经费。关注业务招待费支出的真实性。重点检查是否存在超范围、超标准列支招待费问题，是否存在将业务招待费隐身于其他科目的情况。关注公车配置及使用的合理性。检查是否存在违规超编超标配车，严格审核其修车费、加油费支出情况，重点审查油费支出是否根据里程数来考核油耗，有无派车单，出车事由是否合理，修理费的支出是否合理。关注会议费支出的真实性。审查会议费是否有会议通知文件，会议预算，业务内容是否真实，是否将业务招待费列为会议费，是否存在会议费弄虚作假，虚开发票，套取现金等问题。</w:t>
      </w:r>
      <w:r>
        <w:rPr>
          <w:rFonts w:hint="eastAsia" w:ascii="黑体" w:hAnsi="黑体" w:eastAsia="黑体" w:cs="黑体"/>
          <w:sz w:val="32"/>
          <w:szCs w:val="32"/>
          <w:lang w:val="en-US" w:eastAsia="zh-CN"/>
        </w:rPr>
        <w:t>六是</w:t>
      </w:r>
      <w:r>
        <w:rPr>
          <w:rFonts w:hint="default" w:ascii="Times New Roman" w:hAnsi="Times New Roman" w:eastAsia="仿宋_GB2312" w:cs="Times New Roman"/>
          <w:color w:val="000000"/>
          <w:sz w:val="32"/>
          <w:szCs w:val="32"/>
        </w:rPr>
        <w:t>其他需要审计的内容。</w:t>
      </w:r>
    </w:p>
    <w:p>
      <w:pPr>
        <w:spacing w:line="52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default" w:ascii="楷体" w:hAnsi="楷体" w:eastAsia="楷体" w:cs="楷体"/>
          <w:sz w:val="32"/>
          <w:szCs w:val="32"/>
          <w:lang w:eastAsia="zh-CN"/>
        </w:rPr>
        <w:t>审计工作要求</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具有中国注册会计师协会核发的会计师事务所执业资质，具有良好的商业信誉；注册会计师人数不少于4名。</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熟悉高校会计制度、部门预算、决算、国库集中支付制度等。</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投标单位近3年内没有因违法、违规行为被国家有关部门予以处罚的记录。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提供《营业执照》、《会计师事务所执业证书》、《税务登记证》复印件及授权代表的法人授权委托书和身份证明。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近3年内有学校审计经历。</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根据会计事务所工作守则，能高质量的出具审计报告，促进学校规范财务管理。</w:t>
      </w:r>
    </w:p>
    <w:p>
      <w:pPr>
        <w:spacing w:line="52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审计报告一式五份。</w:t>
      </w:r>
    </w:p>
    <w:p>
      <w:pPr>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审计报告内容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审计发现的问题及建议。</w:t>
      </w:r>
    </w:p>
    <w:p>
      <w:pPr>
        <w:spacing w:line="560" w:lineRule="exact"/>
        <w:ind w:firstLine="640" w:firstLineChars="200"/>
        <w:jc w:val="both"/>
        <w:rPr>
          <w:rFonts w:hint="default" w:ascii="Times New Roman" w:hAnsi="Times New Roman" w:eastAsia="黑体" w:cs="Times New Roman"/>
          <w:sz w:val="32"/>
          <w:szCs w:val="32"/>
        </w:rPr>
      </w:pPr>
      <w:r>
        <w:rPr>
          <w:rFonts w:hint="eastAsia" w:ascii="黑体" w:hAnsi="黑体" w:eastAsia="黑体" w:cs="黑体"/>
          <w:b w:val="0"/>
          <w:bCs w:val="0"/>
          <w:sz w:val="32"/>
          <w:szCs w:val="32"/>
          <w:lang w:val="en-US" w:eastAsia="zh-CN"/>
        </w:rPr>
        <w:t>二、2022-2023年度项目专项审计</w:t>
      </w:r>
    </w:p>
    <w:p>
      <w:pPr>
        <w:numPr>
          <w:ilvl w:val="0"/>
          <w:numId w:val="0"/>
        </w:numPr>
        <w:spacing w:line="560" w:lineRule="exact"/>
        <w:ind w:firstLine="640" w:firstLineChars="200"/>
        <w:rPr>
          <w:rFonts w:hint="eastAsia" w:ascii="楷体" w:hAnsi="楷体" w:eastAsia="仿宋_GB2312"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审计</w:t>
      </w:r>
      <w:r>
        <w:rPr>
          <w:rFonts w:hint="eastAsia" w:ascii="楷体" w:hAnsi="楷体" w:eastAsia="楷体" w:cs="楷体"/>
          <w:sz w:val="32"/>
          <w:szCs w:val="32"/>
          <w:lang w:val="en-US" w:eastAsia="zh-CN"/>
        </w:rPr>
        <w:t>范围</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2022—2023年实施项目65个，总计审计金额</w:t>
      </w:r>
      <w:r>
        <w:rPr>
          <w:rFonts w:hint="eastAsia" w:ascii="Times New Roman" w:hAnsi="Times New Roman" w:eastAsia="仿宋_GB2312" w:cs="Times New Roman"/>
          <w:color w:val="auto"/>
          <w:sz w:val="32"/>
          <w:szCs w:val="40"/>
          <w:lang w:eastAsia="zh-CN"/>
        </w:rPr>
        <w:t>3</w:t>
      </w:r>
      <w:r>
        <w:rPr>
          <w:rFonts w:hint="eastAsia" w:ascii="Times New Roman" w:hAnsi="Times New Roman" w:eastAsia="仿宋_GB2312" w:cs="Times New Roman"/>
          <w:color w:val="auto"/>
          <w:sz w:val="32"/>
          <w:szCs w:val="40"/>
          <w:lang w:val="en-US" w:eastAsia="zh-CN"/>
        </w:rPr>
        <w:t>971.17</w:t>
      </w:r>
      <w:r>
        <w:rPr>
          <w:rFonts w:hint="default" w:ascii="Times New Roman" w:hAnsi="Times New Roman" w:eastAsia="仿宋_GB2312" w:cs="Times New Roman"/>
          <w:color w:val="auto"/>
          <w:sz w:val="32"/>
          <w:szCs w:val="40"/>
        </w:rPr>
        <w:t>万元</w:t>
      </w:r>
      <w:r>
        <w:rPr>
          <w:rFonts w:hint="eastAsia" w:ascii="Times New Roman" w:hAnsi="Times New Roman" w:eastAsia="仿宋_GB2312" w:cs="Times New Roman"/>
          <w:color w:val="auto"/>
          <w:sz w:val="32"/>
          <w:szCs w:val="40"/>
          <w:lang w:eastAsia="zh-CN"/>
        </w:rPr>
        <w:t>。</w:t>
      </w:r>
    </w:p>
    <w:p>
      <w:pPr>
        <w:spacing w:line="560" w:lineRule="exact"/>
        <w:ind w:firstLine="640" w:firstLineChars="200"/>
        <w:rPr>
          <w:rFonts w:hint="default" w:ascii="Times New Roman" w:hAnsi="Times New Roman" w:eastAsia="仿宋_GB2312" w:cs="Times New Roman"/>
          <w:sz w:val="32"/>
          <w:szCs w:val="32"/>
          <w:u w:val="none"/>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rPr>
        <w:t>审计对象和内容</w:t>
      </w:r>
      <w:r>
        <w:rPr>
          <w:rFonts w:hint="eastAsia" w:ascii="楷体" w:hAnsi="楷体" w:eastAsia="楷体" w:cs="楷体"/>
          <w:sz w:val="32"/>
          <w:szCs w:val="32"/>
          <w:lang w:eastAsia="zh-CN"/>
        </w:rPr>
        <w:t>。</w:t>
      </w:r>
      <w:r>
        <w:rPr>
          <w:rFonts w:hint="default" w:ascii="Times New Roman" w:hAnsi="Times New Roman" w:eastAsia="仿宋_GB2312" w:cs="Times New Roman"/>
          <w:sz w:val="32"/>
          <w:szCs w:val="32"/>
        </w:rPr>
        <w:t>2022年度学校预算实施的19个项目和2023年度学校预算实施的46个项目（包括工程类项目、货物类项目、服务类项目）</w:t>
      </w:r>
      <w:bookmarkStart w:id="0" w:name="_GoBack"/>
      <w:bookmarkEnd w:id="0"/>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none"/>
          <w:lang w:eastAsia="zh-CN"/>
        </w:rPr>
        <w:t>审计内容应包括以下内容：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对项目的立项（或任务来源）、招标工程量清单及招标控制价、招标程序等进行审查，核查项目行政审批是否按照相关法律法规规定执</w:t>
      </w:r>
      <w:r>
        <w:rPr>
          <w:rFonts w:hint="default" w:ascii="Times New Roman" w:hAnsi="Times New Roman" w:eastAsia="仿宋_GB2312" w:cs="Times New Roman"/>
          <w:sz w:val="32"/>
          <w:szCs w:val="32"/>
          <w:lang w:eastAsia="zh-CN"/>
        </w:rPr>
        <w:t>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2.项目合同签订程序是否符合国家、地方相关政策法规和学校规章制度。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项目经费使用是否符合预算安排，是否符合国家、地方和学校内部制定的财务</w:t>
      </w:r>
      <w:r>
        <w:rPr>
          <w:rFonts w:hint="default" w:ascii="Times New Roman" w:hAnsi="Times New Roman" w:eastAsia="仿宋_GB2312" w:cs="Times New Roman"/>
          <w:sz w:val="32"/>
          <w:szCs w:val="32"/>
          <w:u w:val="none"/>
          <w:lang w:eastAsia="zh-CN"/>
        </w:rPr>
        <w:t>管理、会计制度等。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eastAsia="zh-CN"/>
        </w:rPr>
        <w:t>项目实施过程中，相关责任部门是否按合同约定履行监管责任，在工程项目实施、工程项目变更中有没有相关核实记录，核实记录是否清晰并与实际相符，是否符合相关政策规定。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宋体" w:cs="Times New Roman"/>
          <w:sz w:val="32"/>
          <w:szCs w:val="32"/>
          <w:u w:val="none"/>
          <w:lang w:val="en-US" w:eastAsia="zh-CN"/>
        </w:rPr>
        <w:t>5.</w:t>
      </w:r>
      <w:r>
        <w:rPr>
          <w:rFonts w:hint="default" w:ascii="Times New Roman" w:hAnsi="Times New Roman" w:eastAsia="仿宋_GB2312" w:cs="Times New Roman"/>
          <w:sz w:val="32"/>
          <w:szCs w:val="32"/>
          <w:u w:val="none"/>
          <w:lang w:eastAsia="zh-CN"/>
        </w:rPr>
        <w:t>项目验收、工程量核算是否符合相关政策和标准，是否有必要的证据和文件证明支出的合法性。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工程竣工结算原始资料真实性、完备性、合法性、有效性。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eastAsia="zh-CN"/>
        </w:rPr>
        <w:t>审查工程取费、税金计算的准确性。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8.项目完成后，是否将项目档案整理归档。</w:t>
      </w:r>
    </w:p>
    <w:p>
      <w:pPr>
        <w:spacing w:line="560" w:lineRule="exact"/>
        <w:ind w:firstLine="640" w:firstLineChars="200"/>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其他需要审计的内容。</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rPr>
        <w:t>审计工作要求</w:t>
      </w:r>
      <w:r>
        <w:rPr>
          <w:rFonts w:hint="eastAsia" w:ascii="楷体" w:hAnsi="楷体" w:eastAsia="楷体" w:cs="楷体"/>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具有中国注册会计师协会核发的会计师事务所执业资质，具有良好的商业信誉；注册会计师人数不少于4名。</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熟悉高校会计制度、审计准则，有充分的理解和应用能力。</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投标单位近3年内没有因违法、违规行为被国家有关部门予以处罚的记录。</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提供《营业执照》、《会计师事务所执业证书》、《税务登记证》复印件及授权代表的法人授权委托书和身份证明。</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近3年内有学校审计经历。</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根据会计事务所工作守则，能高质量的出具审计报告，促进学校规范财务管理。</w:t>
      </w:r>
    </w:p>
    <w:p>
      <w:pPr>
        <w:spacing w:line="560" w:lineRule="exact"/>
        <w:ind w:firstLine="640" w:firstLineChars="200"/>
        <w:outlineLvl w:val="2"/>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遵守审计公司规章制度，执行审计流程和程序，确保审计工作的严谨性和规范性。</w:t>
      </w:r>
    </w:p>
    <w:p>
      <w:pPr>
        <w:spacing w:line="560" w:lineRule="exact"/>
        <w:ind w:firstLine="640" w:firstLineChars="200"/>
        <w:outlineLvl w:val="2"/>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严守商业秘密，确保被审计企业的信息安全和保密</w:t>
      </w:r>
    </w:p>
    <w:p>
      <w:pPr>
        <w:spacing w:line="560" w:lineRule="exact"/>
        <w:ind w:firstLine="640" w:firstLineChars="200"/>
        <w:outlineLvl w:val="2"/>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审计报告一式五份。</w:t>
      </w:r>
    </w:p>
    <w:p>
      <w:pPr>
        <w:spacing w:line="560" w:lineRule="exact"/>
        <w:ind w:firstLine="640" w:firstLineChars="200"/>
        <w:outlineLvl w:val="2"/>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结算审查的编制人、校对人和审核人不得由同一人担任。</w:t>
      </w:r>
    </w:p>
    <w:p>
      <w:pPr>
        <w:spacing w:line="560" w:lineRule="exact"/>
        <w:ind w:firstLine="640" w:firstLineChars="200"/>
        <w:outlineLvl w:val="2"/>
        <w:rPr>
          <w:rFonts w:ascii="Times New Roman" w:hAnsi="Times New Roman" w:cs="Times New Roman"/>
          <w:sz w:val="24"/>
          <w:szCs w:val="24"/>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乙方与被审查项目的发承包双方有利害关系，可能影响公正的，应予以回避。</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default" w:ascii="楷体" w:hAnsi="楷体" w:eastAsia="楷体" w:cs="楷体"/>
          <w:sz w:val="32"/>
          <w:szCs w:val="32"/>
        </w:rPr>
        <w:t>审计报告内容</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t>审计发现的问题及建议、项目</w:t>
      </w:r>
      <w:r>
        <w:rPr>
          <w:rFonts w:hint="default" w:ascii="Times New Roman" w:hAnsi="Times New Roman" w:eastAsia="仿宋_GB2312" w:cs="Times New Roman"/>
          <w:sz w:val="32"/>
          <w:szCs w:val="32"/>
          <w:lang w:eastAsia="zh-CN"/>
        </w:rPr>
        <w:t>建设中存在的风险点及</w:t>
      </w:r>
      <w:r>
        <w:rPr>
          <w:rFonts w:hint="default" w:ascii="Times New Roman" w:hAnsi="Times New Roman" w:eastAsia="仿宋_GB2312" w:cs="Times New Roman"/>
          <w:sz w:val="32"/>
          <w:szCs w:val="32"/>
        </w:rPr>
        <w:t>建议。</w:t>
      </w:r>
    </w:p>
    <w:p>
      <w:pPr>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2020-202</w:t>
      </w:r>
      <w:r>
        <w:rPr>
          <w:rFonts w:hint="eastAsia" w:ascii="黑体" w:hAnsi="黑体" w:eastAsia="黑体" w:cs="黑体"/>
          <w:b w:val="0"/>
          <w:bCs w:val="0"/>
          <w:sz w:val="32"/>
          <w:szCs w:val="32"/>
          <w:lang w:val="en-US" w:eastAsia="zh-CN"/>
        </w:rPr>
        <w:t>3</w:t>
      </w:r>
      <w:r>
        <w:rPr>
          <w:rFonts w:hint="default" w:ascii="黑体" w:hAnsi="黑体" w:eastAsia="黑体" w:cs="黑体"/>
          <w:b w:val="0"/>
          <w:bCs w:val="0"/>
          <w:sz w:val="32"/>
          <w:szCs w:val="32"/>
          <w:lang w:val="en-US" w:eastAsia="zh-CN"/>
        </w:rPr>
        <w:t>年科研项目经费专项审计</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default" w:ascii="楷体" w:hAnsi="楷体" w:eastAsia="楷体" w:cs="楷体"/>
          <w:sz w:val="32"/>
          <w:szCs w:val="32"/>
        </w:rPr>
        <w:t>审计范围</w:t>
      </w:r>
      <w:r>
        <w:rPr>
          <w:rFonts w:hint="eastAsia" w:ascii="楷体" w:hAnsi="楷体" w:eastAsia="楷体" w:cs="楷体"/>
          <w:sz w:val="32"/>
          <w:szCs w:val="32"/>
          <w:lang w:eastAsia="zh-CN"/>
        </w:rPr>
        <w:t>。</w:t>
      </w:r>
      <w:r>
        <w:rPr>
          <w:rFonts w:hint="default" w:ascii="Times New Roman" w:hAnsi="Times New Roman" w:eastAsia="仿宋_GB2312" w:cs="Times New Roman"/>
          <w:color w:val="000000"/>
          <w:sz w:val="32"/>
          <w:szCs w:val="32"/>
        </w:rPr>
        <w:t>从建校以来，学校所有预算科研项目经费的使用、管理情况，包括国家级、省级、校级和对口帮扶学校援助的科研项目等各项科研经费的来源和支出等情况</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审计资金183.44万元</w:t>
      </w:r>
      <w:r>
        <w:rPr>
          <w:rFonts w:hint="default" w:ascii="Times New Roman" w:hAnsi="Times New Roman" w:eastAsia="仿宋_GB2312" w:cs="Times New Roman"/>
          <w:color w:val="000000"/>
          <w:sz w:val="32"/>
          <w:szCs w:val="32"/>
        </w:rPr>
        <w:t>。</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rPr>
        <w:t>审计内容</w:t>
      </w:r>
      <w:r>
        <w:rPr>
          <w:rFonts w:hint="eastAsia" w:ascii="楷体" w:hAnsi="楷体" w:eastAsia="楷体" w:cs="楷体"/>
          <w:sz w:val="32"/>
          <w:szCs w:val="32"/>
          <w:lang w:eastAsia="zh-CN"/>
        </w:rPr>
        <w:t>。</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项目立项审批流程是否规范，经费申请是否符合规定。</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经费使用是否符合立项内容，是否存在滥用经费、超支等情况。</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资金管理是否规范，是否有专门的经费管理部门负责监管。</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报销凭证是否真实可靠，费用是否合理，并符合相关政策和规定。</w:t>
      </w:r>
    </w:p>
    <w:p>
      <w:pPr>
        <w:spacing w:line="560" w:lineRule="exact"/>
        <w:ind w:left="638" w:leftChars="304" w:firstLine="0" w:firstLineChars="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科研项目的立项、经费分配和使用情况。</w:t>
      </w:r>
    </w:p>
    <w:p>
      <w:pPr>
        <w:spacing w:line="560" w:lineRule="exact"/>
        <w:ind w:left="638" w:leftChars="304" w:firstLine="0" w:firstLineChars="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科研项目的经费使用记录和账务核对。</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涉及科研经费使用管理和规范的主要制度和流程。</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其他需要审计的内容。</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rPr>
        <w:t>审计工作要求</w:t>
      </w:r>
      <w:r>
        <w:rPr>
          <w:rFonts w:hint="eastAsia" w:ascii="楷体" w:hAnsi="楷体" w:eastAsia="楷体" w:cs="楷体"/>
          <w:sz w:val="32"/>
          <w:szCs w:val="32"/>
          <w:lang w:eastAsia="zh-CN"/>
        </w:rPr>
        <w:t>。</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1.专业背景：审计机构需具备丰富的审计经验和专业知识，尤其是对科研经费管理和相关法律法规有深入了解，以确保审计工作的准确性和全面性。</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独立性：审计机构应保持独立客观的审计态度，不受被审计单位影响，客观公正地评价科研经费使用情况，提供客观的审计意见。</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团队素质：审计机构应组建具备专业技能和资质的审计团队，包括注册会计师、审计师等，确保审计工作的专业性和高效性。</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 方法与技术：审计机构需掌握先进的审计方法和技术，包括数据分析工具、审计软件等，提高审计效率和准确性。</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 沟通能力：审计机构应具备良好的沟通能力，能够与被审计单位及相关部门进行有效沟通和协调，了解项目情况并传达审计结论和建议。</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 保密性：审计机构需严格遵守保密协议，保护被审计单位的商业机密和敏感信息，确保审计结果的机密性和安全性。</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 报告编制：审计机构需撰写清晰、准确的审计报告，明确呈现审计结论和发现，提出合理的改进建议，协助被审计单位改善科研经费管理水平。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4C5E11-81FC-4E80-9E00-C2D4C12EA4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BA288C2-BB57-42FA-9FA0-534CB0D5B77A}"/>
  </w:font>
  <w:font w:name="仿宋_GB2312">
    <w:altName w:val="仿宋"/>
    <w:panose1 w:val="02010609030101010101"/>
    <w:charset w:val="86"/>
    <w:family w:val="modern"/>
    <w:pitch w:val="default"/>
    <w:sig w:usb0="00000000" w:usb1="00000000" w:usb2="00000000" w:usb3="00000000" w:csb0="00040000" w:csb1="00000000"/>
    <w:embedRegular r:id="rId3" w:fontKey="{AF141681-56E9-4CD6-8773-874C574B4198}"/>
  </w:font>
  <w:font w:name="楷体">
    <w:panose1 w:val="02010609060101010101"/>
    <w:charset w:val="86"/>
    <w:family w:val="modern"/>
    <w:pitch w:val="default"/>
    <w:sig w:usb0="800002BF" w:usb1="38CF7CFA" w:usb2="00000016" w:usb3="00000000" w:csb0="00040001" w:csb1="00000000"/>
    <w:embedRegular r:id="rId4" w:fontKey="{5718E211-6224-4EA8-AB20-5B820AF5E8B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8953F8"/>
    <w:rsid w:val="0387721F"/>
    <w:rsid w:val="119B0EA6"/>
    <w:rsid w:val="1AB6287F"/>
    <w:rsid w:val="260131EA"/>
    <w:rsid w:val="2B9A5977"/>
    <w:rsid w:val="32D02AD9"/>
    <w:rsid w:val="56140A37"/>
    <w:rsid w:val="573E31B7"/>
    <w:rsid w:val="7532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dcterms:modified xsi:type="dcterms:W3CDTF">2024-05-15T08:20:44Z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0C1D94ECDF454F37AC024EDD7BACE2D0_12</vt:lpwstr>
  </property>
</Properties>
</file>