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ind w:firstLine="2200" w:firstLineChars="500"/>
        <w:rPr>
          <w:rFonts w:hint="eastAsia"/>
        </w:rPr>
      </w:pPr>
      <w:r>
        <w:rPr>
          <w:rFonts w:hint="eastAsia" w:ascii="Microsoft YaHei UI" w:hAnsi="Microsoft YaHei UI" w:eastAsia="Microsoft YaHei UI" w:cs="Microsoft YaHei UI"/>
          <w:sz w:val="44"/>
          <w:szCs w:val="44"/>
          <w:lang w:val="en-US" w:eastAsia="zh-CN"/>
        </w:rPr>
        <w:t>电动闭门器采购项目  </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电动闭门器采购项目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w:t>
      </w:r>
      <w:r>
        <w:rPr>
          <w:rFonts w:hint="eastAsia" w:ascii="宋体" w:hAnsi="宋体" w:cs="仿宋"/>
          <w:color w:val="000000" w:themeColor="text1"/>
          <w:kern w:val="0"/>
          <w:sz w:val="24"/>
          <w:lang w:eastAsia="zh-CN"/>
          <w14:textFill>
            <w14:solidFill>
              <w14:schemeClr w14:val="tx1"/>
            </w14:solidFill>
          </w14:textFill>
        </w:rPr>
        <w:t>XCMY20240</w:t>
      </w:r>
      <w:r>
        <w:rPr>
          <w:rFonts w:hint="eastAsia" w:ascii="宋体" w:hAnsi="宋体" w:cs="仿宋"/>
          <w:color w:val="000000" w:themeColor="text1"/>
          <w:kern w:val="0"/>
          <w:sz w:val="24"/>
          <w:lang w:val="en-US" w:eastAsia="zh-CN"/>
          <w14:textFill>
            <w14:solidFill>
              <w14:schemeClr w14:val="tx1"/>
            </w14:solidFill>
          </w14:textFill>
        </w:rPr>
        <w:t>407</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电动闭门器采购项目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kern w:val="0"/>
          <w:sz w:val="24"/>
          <w:lang w:val="en-US" w:eastAsia="zh-CN"/>
          <w14:textFill>
            <w14:solidFill>
              <w14:schemeClr w14:val="tx1"/>
            </w14:solidFill>
          </w14:textFill>
        </w:rPr>
        <w:t>我校2、3号学生公寓存在男女生混住，为避免男女生互串寝室，宿管将2号公寓5道防火门和3号公寓6道防火门上锁。经武装保卫处巡查，存在较大安全隐患，拟对此隐患进行整改，对11扇隔热防火门安装电磁闭门器。</w:t>
      </w:r>
      <w:r>
        <w:rPr>
          <w:rFonts w:hint="eastAsia" w:ascii="宋体" w:hAnsi="宋体" w:cs="仿宋"/>
          <w:color w:val="000000" w:themeColor="text1"/>
          <w:sz w:val="24"/>
          <w:lang w:val="en-US" w:eastAsia="zh-CN"/>
          <w14:textFill>
            <w14:solidFill>
              <w14:schemeClr w14:val="tx1"/>
            </w14:solidFill>
          </w14:textFill>
        </w:rPr>
        <w:t xml:space="preserve">                       </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Arial" w:hAnsi="Arial" w:cs="仿宋"/>
          <w:b/>
          <w:color w:val="000000" w:themeColor="text1"/>
          <w:kern w:val="0"/>
          <w:sz w:val="24"/>
          <w:lang w:val="en-US" w:eastAsia="zh-CN"/>
          <w14:textFill>
            <w14:solidFill>
              <w14:schemeClr w14:val="tx1"/>
            </w14:solidFill>
          </w14:textFill>
        </w:rPr>
        <w:t xml:space="preserve"> ： </w:t>
      </w:r>
      <w:r>
        <w:rPr>
          <w:rFonts w:hint="eastAsia" w:ascii="宋体" w:hAnsi="宋体" w:cs="仿宋"/>
          <w:color w:val="000000" w:themeColor="text1"/>
          <w:kern w:val="0"/>
          <w:sz w:val="24"/>
          <w:lang w:val="en-US" w:eastAsia="zh-CN"/>
          <w14:textFill>
            <w14:solidFill>
              <w14:schemeClr w14:val="tx1"/>
            </w14:solidFill>
          </w14:textFill>
        </w:rPr>
        <w:t xml:space="preserve">学校财务处使用“2023招生就业创新创业费 ” </w:t>
      </w:r>
      <w:r>
        <w:rPr>
          <w:rFonts w:hint="eastAsia" w:ascii="宋体" w:hAnsi="宋体" w:cs="宋体"/>
          <w:color w:val="000000" w:themeColor="text1"/>
          <w:sz w:val="24"/>
          <w:szCs w:val="24"/>
          <w:lang w:val="en-US" w:eastAsia="zh-CN"/>
          <w14:textFill>
            <w14:solidFill>
              <w14:schemeClr w14:val="tx1"/>
            </w14:solidFill>
          </w14:textFill>
        </w:rPr>
        <w:t>资金</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
          <w:color w:val="000000" w:themeColor="text1"/>
          <w:kern w:val="0"/>
          <w:sz w:val="24"/>
          <w:lang w:val="en-US" w:eastAsia="zh-CN"/>
          <w14:textFill>
            <w14:solidFill>
              <w14:schemeClr w14:val="tx1"/>
            </w14:solidFill>
          </w14:textFill>
        </w:rPr>
        <w:t xml:space="preserve"> </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85000.00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firstLine="482" w:firstLineChars="200"/>
        <w:rPr>
          <w:rFonts w:hint="eastAsia"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w:t>
      </w:r>
    </w:p>
    <w:tbl>
      <w:tblPr>
        <w:tblStyle w:val="12"/>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59"/>
        <w:gridCol w:w="3931"/>
        <w:gridCol w:w="113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2159" w:type="dxa"/>
            <w:vAlign w:val="center"/>
          </w:tcPr>
          <w:p>
            <w:pPr>
              <w:pStyle w:val="7"/>
              <w:jc w:val="center"/>
              <w:rPr>
                <w:rFonts w:hint="eastAsia"/>
                <w:b/>
                <w:bCs/>
                <w:sz w:val="21"/>
                <w:szCs w:val="21"/>
                <w:vertAlign w:val="baseline"/>
              </w:rPr>
            </w:pPr>
            <w:r>
              <w:rPr>
                <w:rFonts w:hint="eastAsia"/>
                <w:b/>
                <w:bCs/>
                <w:sz w:val="21"/>
                <w:szCs w:val="21"/>
                <w:vertAlign w:val="baseline"/>
              </w:rPr>
              <w:t>采购项目</w:t>
            </w:r>
          </w:p>
        </w:tc>
        <w:tc>
          <w:tcPr>
            <w:tcW w:w="3931"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规则</w:t>
            </w:r>
            <w:r>
              <w:rPr>
                <w:rFonts w:hint="eastAsia"/>
                <w:b/>
                <w:bCs/>
                <w:sz w:val="21"/>
                <w:szCs w:val="21"/>
                <w:vertAlign w:val="baseline"/>
              </w:rPr>
              <w:t>参数</w:t>
            </w:r>
          </w:p>
        </w:tc>
        <w:tc>
          <w:tcPr>
            <w:tcW w:w="1131"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数量</w:t>
            </w:r>
          </w:p>
        </w:tc>
        <w:tc>
          <w:tcPr>
            <w:tcW w:w="1075"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15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平开自动门</w:t>
            </w:r>
          </w:p>
        </w:tc>
        <w:tc>
          <w:tcPr>
            <w:tcW w:w="3931" w:type="dxa"/>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外观：产品表面应平整、无毛刺、无油污、无磕碰、无明显划痕，不应存在可能造成人身伤害的锋利边缘或边角。</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2、手动开启力（N）:</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150N</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3、反向阻止力（N）:</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220N</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4、运行噪声[dB(A)]:</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60dB(A)</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5、绝缘电阻（M</w:t>
            </w:r>
            <w:r>
              <w:rPr>
                <w:rFonts w:ascii="Arial" w:hAnsi="Arial" w:eastAsia="宋体" w:cs="Arial"/>
                <w:i w:val="0"/>
                <w:iCs w:val="0"/>
                <w:caps w:val="0"/>
                <w:color w:val="333333"/>
                <w:spacing w:val="0"/>
                <w:sz w:val="21"/>
                <w:szCs w:val="21"/>
                <w:shd w:val="clear" w:fill="FFFFFF"/>
              </w:rPr>
              <w:t>Ω</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2M</w:t>
            </w:r>
            <w:r>
              <w:rPr>
                <w:rFonts w:ascii="Arial" w:hAnsi="Arial" w:eastAsia="宋体" w:cs="Arial"/>
                <w:i w:val="0"/>
                <w:iCs w:val="0"/>
                <w:caps w:val="0"/>
                <w:color w:val="333333"/>
                <w:spacing w:val="0"/>
                <w:sz w:val="21"/>
                <w:szCs w:val="21"/>
                <w:shd w:val="clear" w:fill="FFFFFF"/>
              </w:rPr>
              <w:t>Ω</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6、抗电强度：控制装置的带电主回路与金属外壳之间应能承受电压为1000V频率为50Hz/60Hz的交流电压，在1min内应无击穿或闪络现象</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7、运行速度（mm/s）：开启关闭速度</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300mm/s</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8、安全间距（mm）:安全间距</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500mm</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FF0000"/>
                <w:kern w:val="0"/>
                <w:sz w:val="21"/>
                <w:szCs w:val="21"/>
                <w:u w:val="none"/>
                <w:lang w:val="en-US" w:eastAsia="zh-CN" w:bidi="ar"/>
              </w:rPr>
              <w:t>参数不允许有负偏离</w:t>
            </w:r>
            <w:r>
              <w:rPr>
                <w:rFonts w:hint="eastAsia" w:ascii="宋体" w:hAnsi="宋体" w:cs="宋体"/>
                <w:i w:val="0"/>
                <w:iCs w:val="0"/>
                <w:color w:val="FF0000"/>
                <w:kern w:val="0"/>
                <w:sz w:val="21"/>
                <w:szCs w:val="21"/>
                <w:u w:val="none"/>
                <w:lang w:val="en-US" w:eastAsia="zh-CN" w:bidi="ar"/>
              </w:rPr>
              <w:t>，以上参数需提供检测报告，否则视为无效投</w:t>
            </w:r>
            <w:bookmarkStart w:id="55" w:name="_GoBack"/>
            <w:bookmarkEnd w:id="55"/>
            <w:r>
              <w:rPr>
                <w:rFonts w:hint="eastAsia" w:ascii="宋体" w:hAnsi="宋体" w:cs="宋体"/>
                <w:i w:val="0"/>
                <w:iCs w:val="0"/>
                <w:color w:val="FF0000"/>
                <w:kern w:val="0"/>
                <w:sz w:val="21"/>
                <w:szCs w:val="21"/>
                <w:u w:val="none"/>
                <w:lang w:val="en-US" w:eastAsia="zh-CN" w:bidi="ar"/>
              </w:rPr>
              <w:t>标。</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22个</w:t>
            </w:r>
          </w:p>
        </w:tc>
        <w:tc>
          <w:tcPr>
            <w:tcW w:w="107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2"/>
                <w:szCs w:val="22"/>
                <w:highlight w:val="none"/>
                <w:shd w:val="clear" w:color="auto" w:fill="auto"/>
                <w:lang w:val="en-US" w:eastAsia="zh-CN"/>
              </w:rPr>
              <w:t>包运输及卸货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w:t>
            </w:r>
          </w:p>
        </w:tc>
        <w:tc>
          <w:tcPr>
            <w:tcW w:w="215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u w:val="none"/>
                <w:lang w:val="en-US" w:eastAsia="zh-CN" w:bidi="ar"/>
              </w:rPr>
              <w:t>门禁指纹机</w:t>
            </w:r>
          </w:p>
        </w:tc>
        <w:tc>
          <w:tcPr>
            <w:tcW w:w="393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采用指纹识别技术安全可靠，操作方便外观简小整洁。</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5套/20个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包运输及卸货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3</w:t>
            </w:r>
          </w:p>
        </w:tc>
        <w:tc>
          <w:tcPr>
            <w:tcW w:w="215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超五类纯铜网线</w:t>
            </w:r>
          </w:p>
        </w:tc>
        <w:tc>
          <w:tcPr>
            <w:tcW w:w="393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1、导体直径mm：0.50±0.01</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2、绝缘外径mm：≤1.5</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3、绝缘颜色及迁移：绝缘芯线应采用颜色识别标志，绝缘线芯的颜色色序符合规定，不应迁移。</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4、电缆护套最小厚度mm：</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护套最小厚度应≥0.40</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护套平均厚度应≥0.50</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电缆护套最大外径mm ：≤6.3</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6、单根电缆火焰垂直蔓延试验mm：上支架下缘和炭化部分起始点之 间的距离&gt;50。</w:t>
            </w:r>
          </w:p>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燃烧向下延伸至距离上支架下缘 ≤540。</w:t>
            </w:r>
            <w:r>
              <w:rPr>
                <w:rFonts w:hint="eastAsia" w:ascii="宋体" w:hAnsi="宋体" w:eastAsia="宋体" w:cs="宋体"/>
                <w:i w:val="0"/>
                <w:iCs w:val="0"/>
                <w:color w:val="FF0000"/>
                <w:kern w:val="0"/>
                <w:sz w:val="21"/>
                <w:szCs w:val="21"/>
                <w:u w:val="none"/>
                <w:lang w:val="en-US" w:eastAsia="zh-CN" w:bidi="ar"/>
              </w:rPr>
              <w:t>参数不允许有负偏离</w:t>
            </w:r>
            <w:r>
              <w:rPr>
                <w:rFonts w:hint="eastAsia" w:ascii="宋体" w:hAnsi="宋体" w:cs="宋体"/>
                <w:i w:val="0"/>
                <w:iCs w:val="0"/>
                <w:color w:val="FF0000"/>
                <w:kern w:val="0"/>
                <w:sz w:val="21"/>
                <w:szCs w:val="21"/>
                <w:u w:val="none"/>
                <w:lang w:val="en-US" w:eastAsia="zh-CN" w:bidi="ar"/>
              </w:rPr>
              <w:t>，以上参数需提供检测报告，否则视为无效投标。</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highlight w:val="none"/>
                <w:shd w:val="clear" w:color="auto" w:fill="auto"/>
                <w:lang w:val="en-US" w:eastAsia="zh-CN" w:bidi="ar"/>
              </w:rPr>
              <w:t>1430</w:t>
            </w:r>
            <w:r>
              <w:rPr>
                <w:rFonts w:hint="eastAsia" w:ascii="宋体" w:hAnsi="宋体" w:cs="宋体"/>
                <w:i w:val="0"/>
                <w:iCs w:val="0"/>
                <w:color w:val="auto"/>
                <w:kern w:val="0"/>
                <w:sz w:val="22"/>
                <w:szCs w:val="22"/>
                <w:highlight w:val="none"/>
                <w:shd w:val="clear" w:color="auto" w:fill="auto"/>
                <w:lang w:val="en-US" w:eastAsia="zh-CN" w:bidi="ar"/>
              </w:rPr>
              <w:t>米</w:t>
            </w:r>
          </w:p>
        </w:tc>
        <w:tc>
          <w:tcPr>
            <w:tcW w:w="1075" w:type="dxa"/>
            <w:vAlign w:val="center"/>
          </w:tcPr>
          <w:p>
            <w:pPr>
              <w:keepNext w:val="0"/>
              <w:keepLines w:val="0"/>
              <w:pageBreakBefore w:val="0"/>
              <w:widowControl/>
              <w:suppressLineNumbers w:val="0"/>
              <w:tabs>
                <w:tab w:val="left" w:pos="226"/>
              </w:tabs>
              <w:kinsoku/>
              <w:wordWrap/>
              <w:overflowPunct/>
              <w:topLinePunct w:val="0"/>
              <w:autoSpaceDE/>
              <w:autoSpaceDN/>
              <w:bidi w:val="0"/>
              <w:adjustRightInd/>
              <w:snapToGrid/>
              <w:spacing w:line="240" w:lineRule="exact"/>
              <w:ind w:left="210" w:hanging="220" w:hangingChars="100"/>
              <w:jc w:val="left"/>
              <w:textAlignment w:val="center"/>
              <w:rPr>
                <w:rFonts w:hint="eastAsia" w:ascii="宋体" w:hAnsi="宋体" w:eastAsia="宋体" w:cs="宋体"/>
                <w:i w:val="0"/>
                <w:iCs w:val="0"/>
                <w:color w:val="auto"/>
                <w:kern w:val="2"/>
                <w:sz w:val="22"/>
                <w:szCs w:val="22"/>
                <w:highlight w:val="none"/>
                <w:shd w:val="clear" w:color="auto" w:fill="auto"/>
                <w:lang w:val="en-US" w:eastAsia="zh-CN"/>
              </w:rPr>
            </w:pPr>
            <w:r>
              <w:rPr>
                <w:rFonts w:hint="eastAsia" w:ascii="宋体" w:hAnsi="宋体" w:eastAsia="宋体" w:cs="宋体"/>
                <w:i w:val="0"/>
                <w:iCs w:val="0"/>
                <w:color w:val="auto"/>
                <w:kern w:val="2"/>
                <w:sz w:val="22"/>
                <w:szCs w:val="22"/>
                <w:highlight w:val="none"/>
                <w:shd w:val="clear" w:color="auto" w:fill="auto"/>
                <w:lang w:val="en-US" w:eastAsia="zh-CN"/>
              </w:rPr>
              <w:t>包运输</w:t>
            </w:r>
          </w:p>
          <w:p>
            <w:pPr>
              <w:keepNext w:val="0"/>
              <w:keepLines w:val="0"/>
              <w:pageBreakBefore w:val="0"/>
              <w:widowControl/>
              <w:suppressLineNumbers w:val="0"/>
              <w:tabs>
                <w:tab w:val="left" w:pos="226"/>
              </w:tabs>
              <w:kinsoku/>
              <w:wordWrap/>
              <w:overflowPunct/>
              <w:topLinePunct w:val="0"/>
              <w:autoSpaceDE/>
              <w:autoSpaceDN/>
              <w:bidi w:val="0"/>
              <w:adjustRightInd/>
              <w:snapToGrid/>
              <w:spacing w:line="240" w:lineRule="exact"/>
              <w:ind w:left="220" w:leftChars="0" w:hanging="220" w:hanging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及卸货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w:t>
            </w:r>
          </w:p>
        </w:tc>
        <w:tc>
          <w:tcPr>
            <w:tcW w:w="215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线管</w:t>
            </w:r>
          </w:p>
        </w:tc>
        <w:tc>
          <w:tcPr>
            <w:tcW w:w="393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ascii="宋体" w:hAnsi="宋体" w:eastAsia="宋体" w:cs="宋体"/>
                <w:sz w:val="24"/>
                <w:szCs w:val="24"/>
              </w:rPr>
              <w:t>pvc塑料管、外径规格16或20线管</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highlight w:val="none"/>
                <w:shd w:val="clear" w:color="auto" w:fill="auto"/>
                <w:lang w:val="en-US" w:eastAsia="zh-CN" w:bidi="ar"/>
              </w:rPr>
              <w:t>1430</w:t>
            </w:r>
            <w:r>
              <w:rPr>
                <w:rFonts w:hint="eastAsia" w:ascii="宋体" w:hAnsi="宋体" w:cs="宋体"/>
                <w:i w:val="0"/>
                <w:iCs w:val="0"/>
                <w:color w:val="auto"/>
                <w:kern w:val="0"/>
                <w:sz w:val="22"/>
                <w:szCs w:val="22"/>
                <w:highlight w:val="none"/>
                <w:shd w:val="clear" w:color="auto" w:fill="auto"/>
                <w:lang w:val="en-US" w:eastAsia="zh-CN" w:bidi="ar"/>
              </w:rPr>
              <w:t>米</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包运输及卸货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5</w:t>
            </w:r>
          </w:p>
        </w:tc>
        <w:tc>
          <w:tcPr>
            <w:tcW w:w="215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2"/>
                <w:sz w:val="22"/>
                <w:szCs w:val="22"/>
                <w:highlight w:val="none"/>
                <w:shd w:val="clear" w:color="auto" w:fill="auto"/>
                <w:lang w:val="en-US" w:eastAsia="zh-CN"/>
              </w:rPr>
              <w:t>辅材</w:t>
            </w:r>
          </w:p>
        </w:tc>
        <w:tc>
          <w:tcPr>
            <w:tcW w:w="393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highlight w:val="none"/>
                <w:shd w:val="clear" w:color="auto" w:fill="auto"/>
                <w:lang w:val="en-US" w:eastAsia="zh-CN" w:bidi="ar"/>
              </w:rPr>
              <w:t>/</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2"/>
                <w:szCs w:val="22"/>
                <w:highlight w:val="none"/>
                <w:shd w:val="clear" w:color="auto" w:fill="auto"/>
                <w:lang w:val="en-US" w:eastAsia="zh-CN"/>
              </w:rPr>
              <w:t>包运输及卸货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6</w:t>
            </w:r>
          </w:p>
        </w:tc>
        <w:tc>
          <w:tcPr>
            <w:tcW w:w="215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highlight w:val="none"/>
                <w:shd w:val="clear" w:color="auto" w:fill="auto"/>
                <w:lang w:val="en-US" w:eastAsia="zh-CN" w:bidi="ar"/>
              </w:rPr>
              <w:t>人工费</w:t>
            </w:r>
          </w:p>
        </w:tc>
        <w:tc>
          <w:tcPr>
            <w:tcW w:w="393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highlight w:val="none"/>
                <w:shd w:val="clear" w:color="auto" w:fill="auto"/>
                <w:lang w:val="en-US" w:eastAsia="zh-CN" w:bidi="ar"/>
              </w:rPr>
              <w:t>/</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highlight w:val="none"/>
                <w:shd w:val="clear" w:color="auto" w:fill="auto"/>
                <w:lang w:val="en-US" w:eastAsia="zh-CN" w:bidi="ar"/>
              </w:rPr>
              <w:t>弱电施工、安装施工、调试、后期清理</w:t>
            </w:r>
          </w:p>
        </w:tc>
      </w:tr>
    </w:tbl>
    <w:p>
      <w:pPr>
        <w:adjustRightInd w:val="0"/>
        <w:snapToGrid w:val="0"/>
        <w:spacing w:line="360" w:lineRule="auto"/>
        <w:ind w:firstLine="480" w:firstLineChars="200"/>
        <w:rPr>
          <w:rFonts w:hint="default" w:ascii="Arial" w:hAnsi="Arial" w:cs="仿宋"/>
          <w:color w:val="FF0000"/>
          <w:kern w:val="0"/>
          <w:sz w:val="24"/>
          <w:lang w:val="en-US" w:eastAsia="zh-CN"/>
        </w:rPr>
      </w:pPr>
      <w:r>
        <w:rPr>
          <w:rFonts w:hint="eastAsia" w:ascii="Arial" w:hAnsi="Arial" w:cs="仿宋"/>
          <w:color w:val="FF0000"/>
          <w:kern w:val="0"/>
          <w:sz w:val="24"/>
          <w:lang w:val="en-US" w:eastAsia="zh-CN"/>
        </w:rPr>
        <w:t>以上所有货物必须具有产品合格证、检测报告，所有货物包括货物售价、包装、运输、税费、安装、调试等验收合格交付前有关各项费用。</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85000.00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货物和安装必须满足招标技术要求，包括但不限于技术要求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15</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10</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12</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15</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w:t>
      </w:r>
      <w:r>
        <w:rPr>
          <w:rFonts w:hint="eastAsia" w:ascii="Arial" w:hAnsi="Arial" w:cs="仿宋"/>
          <w:color w:val="auto"/>
          <w:kern w:val="0"/>
          <w:sz w:val="24"/>
          <w:u w:val="single"/>
          <w:lang w:val="en-US" w:eastAsia="zh-CN"/>
        </w:rPr>
        <w:t>2</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15</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496267"/>
      <w:bookmarkStart w:id="4" w:name="_Toc508697732"/>
      <w:bookmarkStart w:id="5" w:name="_Toc213396945"/>
      <w:bookmarkStart w:id="6" w:name="_Toc217446031"/>
      <w:bookmarkStart w:id="7" w:name="_Toc213397009"/>
      <w:bookmarkStart w:id="8" w:name="_Toc508697771"/>
      <w:bookmarkStart w:id="9" w:name="_Toc213396759"/>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4</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515536911"/>
      <w:bookmarkStart w:id="11" w:name="_Toc12168"/>
      <w:bookmarkStart w:id="12" w:name="_Toc27398"/>
      <w:bookmarkStart w:id="13" w:name="_Toc60142197"/>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515536912"/>
      <w:bookmarkStart w:id="16" w:name="_Toc10953"/>
      <w:bookmarkStart w:id="17" w:name="_Toc183582231"/>
      <w:bookmarkStart w:id="18" w:name="_Toc77400782"/>
      <w:bookmarkStart w:id="19" w:name="_Toc183682368"/>
      <w:bookmarkStart w:id="20" w:name="_Toc217446056"/>
      <w:bookmarkStart w:id="21" w:name="_Toc8907587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w:t>
      </w:r>
      <w:r>
        <w:rPr>
          <w:rFonts w:hint="eastAsia" w:ascii="宋体" w:hAnsi="宋体"/>
          <w:color w:val="auto"/>
          <w:sz w:val="24"/>
        </w:rPr>
        <w:t>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482" w:firstLineChars="200"/>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515536913"/>
      <w:bookmarkStart w:id="25" w:name="_Toc60142200"/>
      <w:bookmarkStart w:id="26" w:name="_Toc4504"/>
      <w:bookmarkStart w:id="27" w:name="_Toc6181"/>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13763"/>
      <w:bookmarkStart w:id="29" w:name="_Toc355"/>
      <w:bookmarkStart w:id="30" w:name="_Toc515536914"/>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515536917"/>
      <w:bookmarkStart w:id="33" w:name="_Toc16063"/>
      <w:bookmarkStart w:id="34" w:name="_Toc19941"/>
      <w:bookmarkStart w:id="35" w:name="_Toc183682369"/>
      <w:bookmarkStart w:id="36" w:name="_Toc183582232"/>
      <w:bookmarkStart w:id="37" w:name="_Toc217446057"/>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default"/>
          <w:color w:val="auto"/>
          <w:lang w:val="en-US"/>
        </w:rPr>
      </w:pPr>
      <w:r>
        <w:rPr>
          <w:rFonts w:hint="eastAsia" w:ascii="Microsoft YaHei UI" w:hAnsi="Microsoft YaHei UI" w:eastAsia="Microsoft YaHei UI" w:cs="Microsoft YaHei UI"/>
          <w:sz w:val="44"/>
          <w:szCs w:val="44"/>
          <w:lang w:val="en-US" w:eastAsia="zh-CN"/>
        </w:rPr>
        <w:t>电动闭门器采购项目  </w:t>
      </w: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bookmarkStart w:id="49" w:name="_Toc474937285"/>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496797232"/>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60142203"/>
      <w:bookmarkStart w:id="54" w:name="_Toc519155927"/>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w:t>
      </w:r>
      <w:r>
        <w:rPr>
          <w:rFonts w:hint="eastAsia"/>
          <w:color w:val="auto"/>
          <w:sz w:val="24"/>
          <w:lang w:val="en-US" w:eastAsia="zh-CN"/>
        </w:rPr>
        <w:t>将</w:t>
      </w:r>
      <w:r>
        <w:rPr>
          <w:rFonts w:hint="eastAsia"/>
          <w:color w:val="auto"/>
          <w:sz w:val="24"/>
        </w:rPr>
        <w:t>根据</w:t>
      </w:r>
      <w:r>
        <w:rPr>
          <w:rFonts w:hint="eastAsia"/>
          <w:color w:val="auto"/>
          <w:sz w:val="24"/>
          <w:lang w:eastAsia="zh-CN"/>
        </w:rPr>
        <w:t>询价</w:t>
      </w:r>
      <w:r>
        <w:rPr>
          <w:rFonts w:hint="eastAsia"/>
          <w:color w:val="auto"/>
          <w:sz w:val="24"/>
        </w:rPr>
        <w:t>文件自行提供，格式自拟</w:t>
      </w:r>
      <w:r>
        <w:rPr>
          <w:rFonts w:hint="eastAsia"/>
          <w:color w:val="auto"/>
          <w:sz w:val="24"/>
          <w:lang w:eastAsia="zh-CN"/>
        </w:rPr>
        <w:t>。</w:t>
      </w:r>
      <w:r>
        <w:rPr>
          <w:rFonts w:hint="eastAsia"/>
          <w:color w:val="FF0000"/>
          <w:sz w:val="24"/>
          <w:lang w:val="en-US" w:eastAsia="zh-CN"/>
        </w:rPr>
        <w:t>注：货物需提供的检测机构出具的检验报告和产品合格证复印件盖公章作佐证资料装订在询价文件里</w:t>
      </w:r>
      <w:r>
        <w:rPr>
          <w:rFonts w:hint="eastAsia"/>
          <w:color w:val="FF0000"/>
          <w:sz w:val="24"/>
        </w:rPr>
        <w:t>。</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696FA323"/>
    <w:multiLevelType w:val="singleLevel"/>
    <w:tmpl w:val="696FA32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172A27"/>
    <w:rsid w:val="01B701DD"/>
    <w:rsid w:val="05FD0BC5"/>
    <w:rsid w:val="062F4FF2"/>
    <w:rsid w:val="0690662C"/>
    <w:rsid w:val="094B071E"/>
    <w:rsid w:val="096612C0"/>
    <w:rsid w:val="0A3E51D5"/>
    <w:rsid w:val="0D4F2DA8"/>
    <w:rsid w:val="0F1458E2"/>
    <w:rsid w:val="0F496374"/>
    <w:rsid w:val="18F13F88"/>
    <w:rsid w:val="19996254"/>
    <w:rsid w:val="1A223CAE"/>
    <w:rsid w:val="1C19367C"/>
    <w:rsid w:val="1EB953E6"/>
    <w:rsid w:val="1FC15931"/>
    <w:rsid w:val="21907BFE"/>
    <w:rsid w:val="22AA2A22"/>
    <w:rsid w:val="22D04EED"/>
    <w:rsid w:val="284C5F7C"/>
    <w:rsid w:val="291572A8"/>
    <w:rsid w:val="2BBB3D91"/>
    <w:rsid w:val="2C883C51"/>
    <w:rsid w:val="2CDD3F81"/>
    <w:rsid w:val="2F9D32B6"/>
    <w:rsid w:val="387B5308"/>
    <w:rsid w:val="38BE4640"/>
    <w:rsid w:val="3A9F047C"/>
    <w:rsid w:val="3FC62B70"/>
    <w:rsid w:val="4171348E"/>
    <w:rsid w:val="42CD7EB3"/>
    <w:rsid w:val="43C73CD6"/>
    <w:rsid w:val="46B81202"/>
    <w:rsid w:val="47BD7538"/>
    <w:rsid w:val="47DC3317"/>
    <w:rsid w:val="4B6C2F94"/>
    <w:rsid w:val="4BF622CD"/>
    <w:rsid w:val="4F1C6CB0"/>
    <w:rsid w:val="4F586270"/>
    <w:rsid w:val="51B77244"/>
    <w:rsid w:val="52000FD8"/>
    <w:rsid w:val="52BC5043"/>
    <w:rsid w:val="52CB6777"/>
    <w:rsid w:val="55DD6BFA"/>
    <w:rsid w:val="59305585"/>
    <w:rsid w:val="59DF3C14"/>
    <w:rsid w:val="60C37A55"/>
    <w:rsid w:val="61044A3C"/>
    <w:rsid w:val="63C7125A"/>
    <w:rsid w:val="651E3B8B"/>
    <w:rsid w:val="6872067E"/>
    <w:rsid w:val="6ADA0434"/>
    <w:rsid w:val="6ED11519"/>
    <w:rsid w:val="6F042BEE"/>
    <w:rsid w:val="6F336780"/>
    <w:rsid w:val="71B17ACE"/>
    <w:rsid w:val="730E31EE"/>
    <w:rsid w:val="744E0C20"/>
    <w:rsid w:val="747C7CDD"/>
    <w:rsid w:val="782D68BE"/>
    <w:rsid w:val="78D9371F"/>
    <w:rsid w:val="7BAD1268"/>
    <w:rsid w:val="7C13676E"/>
    <w:rsid w:val="7C17597E"/>
    <w:rsid w:val="7D2A0D4B"/>
    <w:rsid w:val="7E9E5C81"/>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5</TotalTime>
  <ScaleCrop>false</ScaleCrop>
  <LinksUpToDate>false</LinksUpToDate>
  <CharactersWithSpaces>14945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2024-03-15T06:26:00Z</cp:lastPrinted>
  <dcterms:modified xsi:type="dcterms:W3CDTF">2024-04-10T02:26:17Z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80DBE4B7457F48B6AD951C2BB8F6B332_13</vt:lpwstr>
  </property>
</Properties>
</file>