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方正小标宋_GBK" w:hAnsi="方正小标宋_GBK" w:eastAsia="方正小标宋_GBK" w:cs="方正小标宋_GBK"/>
          <w:sz w:val="44"/>
          <w:szCs w:val="44"/>
        </w:rPr>
      </w:pPr>
    </w:p>
    <w:p>
      <w:pPr>
        <w:spacing w:line="580" w:lineRule="exact"/>
        <w:jc w:val="center"/>
        <w:rPr>
          <w:rFonts w:ascii="方正小标宋_GBK" w:hAnsi="方正小标宋_GBK" w:eastAsia="方正小标宋_GBK" w:cs="方正小标宋_GBK"/>
          <w:sz w:val="44"/>
          <w:szCs w:val="44"/>
        </w:rPr>
      </w:pPr>
    </w:p>
    <w:p>
      <w:pPr>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西昌民族幼专202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年高职单招</w:t>
      </w:r>
    </w:p>
    <w:p>
      <w:pPr>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报考指南</w:t>
      </w:r>
    </w:p>
    <w:p>
      <w:pPr>
        <w:spacing w:line="520" w:lineRule="exact"/>
        <w:ind w:firstLine="640" w:firstLineChars="200"/>
        <w:jc w:val="center"/>
        <w:rPr>
          <w:rFonts w:ascii="Times New Roman" w:hAnsi="Times New Roman" w:eastAsia="仿宋_GB2312" w:cs="Times New Roman"/>
          <w:sz w:val="32"/>
          <w:szCs w:val="32"/>
        </w:rPr>
      </w:pPr>
      <w:bookmarkStart w:id="0" w:name="_GoBack"/>
      <w:bookmarkEnd w:id="0"/>
    </w:p>
    <w:p>
      <w:pPr>
        <w:numPr>
          <w:ilvl w:val="0"/>
          <w:numId w:val="0"/>
        </w:num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学校简介</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学校名称：西昌民族幼儿师范高等专科学校</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学校代码：5789</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办学类型：普通高等学校</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办学层次：全日制普通专科</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办学性质：公办</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学校地址：西昌市安宁镇园丁路1号</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西昌民族幼儿师范高等专科学校坐落于举世闻名的中国“航天城”“月亮城”—西昌市。学校是在2018年3月，经四川省政府批复、教育部备案，凉山州政府新建的一所公办全日制普通高等专科学校。学校占地面积392.5亩，校舍建筑面积21.58万平方米，总投资13.5亿元。</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校创建以来，国家、省州高度重视西昌民族幼专发展。时任国务院副总理孙春兰、胡春华等国家领导人深入学校视察调研。教育部、国家民委、省教育厅协调北京师范大学、西南民族大学、四川师范大学等17所高校“组团式”支援学校发展。学校坚持以“服务基础教育，服务乡村振兴，服务民族地区，培养合格师资和技术技能型人才”为办学宗旨。2022年4月，被教育部纳入“师范教育协同提质计划”进行重点帮扶。2023年6月，学校幼儿保育与学前教育专业通过首批国家级职业教育教师教学创新团队合格验收。</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校现有二级教学单位7个，开设专业19个（师范类专业11个，非师范类专业8个），在校学生7000余人，教职工400余人。学校教学基础设施完善。有附属幼儿园1所，学校图书资源总量63.8万册，期刊506种，可使用电子数据库16个，可通过智能终端可阅读电子书总量122万种，教学视频15万部。学校先后与北京师范大学、中国美术学院等对口支援高校共建校内教学实践基地38个、校外实习实训基地207个。</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站在新起点，学校将以习近平新时代中国特色社会主义思想为指导，以党的二十大精神为指引，坚持扎根凉山大力办教育，积极投身凉山新时代基础教育、乡村振兴战略和治蜀兴川生动实践，围绕立德树人根本任务，加快内涵式高质量发展，早日建成全国民族地区一流、特色鲜明的幼儿师范高等专科学校，着力为民族地区培养更多“下得去、用得上、干得好、留得住、有发展”的幼儿教师、小学教师和技术技能型人才。</w:t>
      </w:r>
    </w:p>
    <w:p>
      <w:pPr>
        <w:numPr>
          <w:ilvl w:val="0"/>
          <w:numId w:val="0"/>
        </w:numPr>
        <w:spacing w:line="52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二、专业简介</w:t>
      </w:r>
    </w:p>
    <w:p>
      <w:pPr>
        <w:spacing w:line="520" w:lineRule="exact"/>
        <w:ind w:firstLine="640" w:firstLineChars="200"/>
        <w:rPr>
          <w:rFonts w:hint="eastAsia" w:ascii="楷体_GB2312" w:hAnsi="楷体_GB2312" w:eastAsia="楷体_GB2312" w:cs="楷体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（一）学前教育系</w:t>
      </w:r>
    </w:p>
    <w:p>
      <w:pPr>
        <w:spacing w:line="520" w:lineRule="exact"/>
        <w:ind w:firstLine="643" w:firstLineChars="200"/>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rPr>
        <w:t>学前教育专业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专业代码：570102K</w:t>
      </w:r>
      <w:r>
        <w:rPr>
          <w:rFonts w:hint="eastAsia" w:ascii="Times New Roman" w:hAnsi="Times New Roman" w:eastAsia="仿宋_GB2312" w:cs="Times New Roman"/>
          <w:b/>
          <w:bCs/>
          <w:sz w:val="32"/>
          <w:szCs w:val="32"/>
          <w:lang w:eastAsia="zh-CN"/>
        </w:rPr>
        <w:t>）</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培养思想政治素质良好，热爱学前教育事业，具有良好的专业理念和师德，掌握扎实的学前教育理论知识与技能，具有较强教育实践能力和教育反思能力；尊重教育规律和幼儿身心发展规律，有较强的专业实践能力，主动服务民族地区，服务基础教育，服务乡村振兴，适应学前教育事业发展需要的专科层次的应用型幼儿园师资。</w:t>
      </w:r>
    </w:p>
    <w:p>
      <w:pPr>
        <w:spacing w:line="52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本专业主要开设有公共基础课（思想道德与法治、毛泽东思想和中国特色社会主义理论体系概论、大学生心理健康教育、大学生职业发展与创新创业教育等）和专业课程（学前教育学、学前儿童发展心理学、学前儿童卫生与保健、幼儿园教育活动设计与指导、幼儿教师职业道德修养、学前游戏理论与指导等）。</w:t>
      </w:r>
      <w:r>
        <w:rPr>
          <w:rFonts w:hint="eastAsia" w:ascii="Times New Roman" w:hAnsi="Times New Roman" w:eastAsia="仿宋_GB2312" w:cs="Times New Roman"/>
          <w:sz w:val="32"/>
          <w:szCs w:val="32"/>
          <w:lang w:eastAsia="zh-CN"/>
        </w:rPr>
        <w:t>本专业我校近年毕业生去向落实率为</w:t>
      </w:r>
      <w:r>
        <w:rPr>
          <w:rFonts w:hint="eastAsia" w:ascii="Times New Roman" w:hAnsi="Times New Roman" w:eastAsia="仿宋_GB2312" w:cs="Times New Roman"/>
          <w:sz w:val="32"/>
          <w:szCs w:val="32"/>
          <w:lang w:val="en-US" w:eastAsia="zh-CN"/>
        </w:rPr>
        <w:t>94.14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2.早期教育专业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专业代码：570101K</w:t>
      </w:r>
      <w:r>
        <w:rPr>
          <w:rFonts w:hint="eastAsia" w:ascii="Times New Roman" w:hAnsi="Times New Roman" w:eastAsia="仿宋_GB2312" w:cs="Times New Roman"/>
          <w:b/>
          <w:bCs/>
          <w:sz w:val="32"/>
          <w:szCs w:val="32"/>
          <w:lang w:eastAsia="zh-CN"/>
        </w:rPr>
        <w:t>）</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本专业主要培养具有系统的早期教育专业基础理论知识和基本技能，能够在早教机构、幼儿园、家庭和社区从事 0-3岁婴幼儿保育、教育和家庭育婴指导的集保育、教育、管理、咨询服务于一体的富有创新意识和实践能力的应用型早期教育人才。 </w:t>
      </w:r>
    </w:p>
    <w:p>
      <w:pPr>
        <w:spacing w:line="52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本专业主要开设有公共基础课（思想道德与法治、毛泽东思想和中国特色社会主义理论体系概论、大学生心理健康教育、大学生职业发展与创新创业教育等）和专业课程（婴幼儿卫生与保育、婴幼儿心理学、婴幼儿教育学、婴幼儿营养与护理、婴幼儿教育活动设计与指导、0-3岁婴幼儿智力开发与训练、0-3岁婴幼儿家庭教育与指导、早教机构的筹建、运营与管理等）。</w:t>
      </w:r>
      <w:r>
        <w:rPr>
          <w:rFonts w:hint="eastAsia" w:ascii="Times New Roman" w:hAnsi="Times New Roman" w:eastAsia="仿宋_GB2312" w:cs="Times New Roman"/>
          <w:sz w:val="32"/>
          <w:szCs w:val="32"/>
          <w:lang w:val="en-US" w:eastAsia="zh-CN"/>
        </w:rPr>
        <w:t>本专业我校近年毕业生去向落实率为95.18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pPr>
        <w:spacing w:line="520" w:lineRule="exact"/>
        <w:ind w:firstLine="640" w:firstLineChars="200"/>
        <w:rPr>
          <w:rFonts w:hint="eastAsia" w:ascii="楷体_GB2312" w:hAnsi="楷体_GB2312" w:eastAsia="楷体_GB2312" w:cs="楷体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（二）小学教育系</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3.小学教育专业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专业代码：570103K</w:t>
      </w:r>
      <w:r>
        <w:rPr>
          <w:rFonts w:hint="eastAsia" w:ascii="Times New Roman" w:hAnsi="Times New Roman" w:eastAsia="仿宋_GB2312" w:cs="Times New Roman"/>
          <w:b/>
          <w:bCs/>
          <w:sz w:val="32"/>
          <w:szCs w:val="32"/>
          <w:lang w:eastAsia="zh-CN"/>
        </w:rPr>
        <w:t>）</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本专业主要培养具有扎实学识、仁爱之心、人文素养，掌握小学素质教育的基础理论知识和技能，适应基础教育改革与发展需要，具备小学教育教学能力和教学研究能力的复合型小学教师。</w:t>
      </w:r>
    </w:p>
    <w:p>
      <w:pPr>
        <w:spacing w:line="520" w:lineRule="exact"/>
        <w:ind w:firstLine="640" w:firstLineChars="200"/>
        <w:rPr>
          <w:rFonts w:hint="eastAsia"/>
        </w:rPr>
      </w:pPr>
      <w:r>
        <w:rPr>
          <w:rFonts w:hint="eastAsia" w:ascii="Times New Roman" w:hAnsi="Times New Roman" w:eastAsia="仿宋_GB2312" w:cs="Times New Roman"/>
          <w:sz w:val="32"/>
          <w:szCs w:val="32"/>
        </w:rPr>
        <w:t>本专业主要开设有公共基础课（思想道德与法治、毛泽东思想和中国特色社会主义理论体系概论、大学生心理健康教育、大学生职业发展与创新创业教育等）和专业课程（小学语文教学方法与设计、小学科学教材内容分析、小学综合实践活动教学模拟训练、小学数学教学方法与设计、小学英语教学模拟训练、班队活动方法设计、小学教育基础、高等数学等）</w:t>
      </w:r>
      <w:r>
        <w:rPr>
          <w:rFonts w:hint="eastAsia"/>
        </w:rPr>
        <w:t>。</w:t>
      </w:r>
      <w:r>
        <w:rPr>
          <w:rFonts w:hint="eastAsia" w:ascii="Times New Roman" w:hAnsi="Times New Roman" w:eastAsia="仿宋_GB2312" w:cs="Times New Roman"/>
          <w:sz w:val="32"/>
          <w:szCs w:val="32"/>
          <w:lang w:eastAsia="zh-CN"/>
        </w:rPr>
        <w:t>本专业我校近年毕业生去向落实率为</w:t>
      </w:r>
      <w:r>
        <w:rPr>
          <w:rFonts w:hint="eastAsia" w:ascii="Times New Roman" w:hAnsi="Times New Roman" w:eastAsia="仿宋_GB2312" w:cs="Times New Roman"/>
          <w:sz w:val="32"/>
          <w:szCs w:val="32"/>
          <w:lang w:val="en-US" w:eastAsia="zh-CN"/>
        </w:rPr>
        <w:t>81.28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4.心理健康教育专业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专业代码：570116K</w:t>
      </w:r>
      <w:r>
        <w:rPr>
          <w:rFonts w:hint="eastAsia" w:ascii="Times New Roman" w:hAnsi="Times New Roman" w:eastAsia="仿宋_GB2312" w:cs="Times New Roman"/>
          <w:b/>
          <w:bCs/>
          <w:sz w:val="32"/>
          <w:szCs w:val="32"/>
          <w:lang w:eastAsia="zh-CN"/>
        </w:rPr>
        <w:t>）</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本专业主要培养具有心理健康教育与心理咨询专业必备的专门理论知识，熟练掌握心理辅导、心理咨询等基本技能和初步能力，具有良好职业道德的心理健康服务技术技能人才。</w:t>
      </w:r>
    </w:p>
    <w:p>
      <w:pPr>
        <w:spacing w:line="520" w:lineRule="exact"/>
        <w:ind w:firstLine="640" w:firstLineChars="200"/>
        <w:rPr>
          <w:rFonts w:hint="eastAsia"/>
        </w:rPr>
      </w:pPr>
      <w:r>
        <w:rPr>
          <w:rFonts w:hint="eastAsia" w:ascii="Times New Roman" w:hAnsi="Times New Roman" w:eastAsia="仿宋_GB2312" w:cs="Times New Roman"/>
          <w:sz w:val="32"/>
          <w:szCs w:val="32"/>
        </w:rPr>
        <w:t>本专业主要开设有公共基础课（思想道德与法治、毛泽东思想和中国特色社会主义理论体系概论、大学生心理健康教育、大学生职业发展与创新创业教育等）和专业课（普通心理学、心理学史、小学心理健康教育课程与教学设计、小学生心理健康教育实践、心理统计与测量、心理咨询原理与实践、儿童行为矫正等）。</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5.现代文秘专业（专业代码：590401）</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培养掌握文秘以及相关岗位的基本理论与基本知识，具备较强的写作能力、公关能力、社会交往能力、口语表达能力和服务能力，能胜任办文、办会、办事工作，熟练操作办公软件，从事办公室文员、档案、行政管理等工作的专业技术人才。</w:t>
      </w:r>
    </w:p>
    <w:p>
      <w:pPr>
        <w:spacing w:line="520" w:lineRule="exact"/>
        <w:ind w:firstLine="640" w:firstLineChars="200"/>
        <w:rPr>
          <w:rFonts w:hint="eastAsia" w:ascii="楷体_GB2312" w:hAnsi="楷体_GB2312" w:eastAsia="楷体_GB2312" w:cs="楷体_GB2312"/>
          <w:color w:val="000000"/>
          <w:sz w:val="32"/>
          <w:szCs w:val="32"/>
          <w:shd w:val="clear" w:color="auto" w:fill="FFFFFF"/>
          <w:lang w:val="en-US" w:eastAsia="zh-CN"/>
        </w:rPr>
      </w:pPr>
      <w:r>
        <w:rPr>
          <w:rFonts w:hint="eastAsia" w:ascii="Times New Roman" w:hAnsi="Times New Roman" w:eastAsia="仿宋_GB2312" w:cs="Times New Roman"/>
          <w:sz w:val="32"/>
          <w:szCs w:val="32"/>
        </w:rPr>
        <w:t>本专业主要开设有公共基础课（思想道德与法治、大学语文、大学生职业发展与创新创业教育等）和专业课程（管理学基础、秘书学、办公室日常事务管理、人力资源管理、行政公文写作与处理、商务文书写作、秘书礼仪、中文速录、文秘综合实训等）。</w:t>
      </w:r>
    </w:p>
    <w:p>
      <w:pPr>
        <w:spacing w:line="520" w:lineRule="exact"/>
        <w:ind w:firstLine="640" w:firstLineChars="200"/>
        <w:rPr>
          <w:rFonts w:hint="default" w:ascii="楷体_GB2312" w:hAnsi="楷体_GB2312" w:eastAsia="楷体_GB2312" w:cs="楷体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（三）艺术教育系</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6.音乐教育专业（专业代码：570108K）</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本专业主要培养具有良好的人文素养、较强音乐教育理论素养和职业道德，掌握音乐教育专业知识和技能，能胜任各类小学、幼儿园、文化馆及培训机构的音乐教师、音乐工作者。</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专业主要开设有公共基础课程（教师书写技能、普通话与教师口语、心理学基础、教育学基础、儿童发展与教育心理学、教育科学研究方法、教育职业道德与教育政策法规）和专业课程（基本乐理、声乐、合唱与指挥、视唱练耳、艺术概论、基础和声、钢琴、钢琴即兴伴奏、中外音乐史及作品赏析、舞蹈、歌由分析与创作）。本专业我校近年毕业生去向落实率为100.00%。</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7.美术教育专业（专业代码：570109K）</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本专业主要培养具有良好人文素养、职业道德和创新意识，有扎实的美术基础和教学能力，能胜任各类小学、幼儿园和培训机构的美术师资及其他美术教学管理的技术技能人才。</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专业主要开设有公共基础课程（思想道德修养与法律基础、毛泽东思想和中国特色社会主义理论体系概论、形势与政策、计算机应用基础、体育与健康、大学生职业发展与创新创业教育等）和专业课程（教育学、教育心理学、小学美术课程与教学、微格教学、素描、色彩、陶泥塑、中国画等）。本专业我校近年毕业生去向落实率为85.80%。</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8.舞蹈教育专业（专业代码：570112K）</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本专业主要培养具有良好的人文素养、较强舞蹈理论素养和职业道德，掌握舞蹈专业知识和教学实践技能，能胜任各类小学、幼儿园、文化馆及培训机构的舞蹈教师、舞蹈工作者。</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专业主要开设有公共基础课程（思想道德修养与法律基础、毛泽东思想和中国特色社会主义理论体系概论、形势与政策、计算机应用基础、体育与健康、大学生职业发展与创新创业教育等）和专业课程（芭蕾舞基训、古典舞基训、中国民族民间舞、舞蹈剧目排练、现代舞基础等）。</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9.视觉传达设计专业（专业代码：550102）</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本专业主要培养具有视觉设计、策划和推广的基本能力，富有时代特征和创新精神的各类广告设计领域的高素质技能型专门人才。</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专业主要开设有公共基础课程（思想道德修养与法律基础、毛泽东思想和中国特色社会主义理论体系概论、形势与政策、军事理论、体育与健康、大学生职业发展与创新创业教育等）和专业课程（设计素描、设计色彩、三大构成、彝汉文字字体与版式设计、图形海报设计、世界现代设计史、设计概论、广告与摄影基础等）。</w:t>
      </w:r>
    </w:p>
    <w:p>
      <w:pPr>
        <w:spacing w:line="520" w:lineRule="exact"/>
        <w:ind w:firstLine="640" w:firstLineChars="200"/>
        <w:rPr>
          <w:rFonts w:hint="eastAsia" w:ascii="楷体_GB2312" w:hAnsi="楷体_GB2312" w:eastAsia="楷体_GB2312" w:cs="楷体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（四）职业教育系</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10.大数据与会计专业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专业代码：530302</w:t>
      </w:r>
      <w:r>
        <w:rPr>
          <w:rFonts w:hint="eastAsia" w:ascii="Times New Roman" w:hAnsi="Times New Roman" w:eastAsia="仿宋_GB2312" w:cs="Times New Roman"/>
          <w:b/>
          <w:bCs/>
          <w:sz w:val="32"/>
          <w:szCs w:val="32"/>
          <w:lang w:eastAsia="zh-CN"/>
        </w:rPr>
        <w:t>）</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培养具有会计核算、涉税管理、财务管理、审计、数据分析等专业知识和较强的会计实务操作等专业技能，能胜任各类中小企业、会计师事务所、政府与事业单位从事出纳、会计、财务管理、会计主管及审计等工作的复合型技术技能人才。</w:t>
      </w:r>
    </w:p>
    <w:p>
      <w:pPr>
        <w:spacing w:line="52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本专业主要开设有公共基础课（思想道德与法治、毛泽东思想和中国特色社会主义理论体系概论、大学生心理健康教育、大学生职业发展与创新创业教育等）和专业课程（基础会计、财务会计、成本会计、行业会计、管理会计、财务管理、ERP财物链及供应链、业财一体化、约创沙盘、i实习等）。</w:t>
      </w:r>
      <w:r>
        <w:rPr>
          <w:rFonts w:hint="eastAsia" w:ascii="Times New Roman" w:hAnsi="Times New Roman" w:eastAsia="仿宋_GB2312" w:cs="Times New Roman"/>
          <w:sz w:val="32"/>
          <w:szCs w:val="32"/>
          <w:lang w:eastAsia="zh-CN"/>
        </w:rPr>
        <w:t>本专业我校近年毕业生去向落实率为</w:t>
      </w:r>
      <w:r>
        <w:rPr>
          <w:rFonts w:hint="eastAsia" w:ascii="Times New Roman" w:hAnsi="Times New Roman" w:eastAsia="仿宋_GB2312" w:cs="Times New Roman"/>
          <w:sz w:val="32"/>
          <w:szCs w:val="32"/>
          <w:lang w:val="en-US" w:eastAsia="zh-CN"/>
        </w:rPr>
        <w:t>90.13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11.旅游管理专业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专业代码：540101</w:t>
      </w:r>
      <w:r>
        <w:rPr>
          <w:rFonts w:hint="eastAsia" w:ascii="Times New Roman" w:hAnsi="Times New Roman" w:eastAsia="仿宋_GB2312" w:cs="Times New Roman"/>
          <w:b/>
          <w:bCs/>
          <w:sz w:val="32"/>
          <w:szCs w:val="32"/>
          <w:lang w:eastAsia="zh-CN"/>
        </w:rPr>
        <w:t>）</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本专业主要培养具有旅游服务与管理专业理论知识和技能,能够胜任各类商务服务业、住宿业、餐饮业等行业从事门市接待、计调与销售、导游服务、旅游规划等工作的复合型高素质技术技能人才。</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开设有公共基础课（思想道德与法治、毛泽东思想和中国特色社会主义理论体系概论、大学生心理健康教育、大学生职业发展与创新创业教育等）和专业课程（导游基础知识、中国旅游地理、旅游学概论、旅游礼仪与沟通技巧、旅游政策法规与职业规范、前厅客房服务与管理、餐饮服务与管理、旅行社经营管理等）。</w:t>
      </w:r>
      <w:r>
        <w:rPr>
          <w:rFonts w:hint="eastAsia" w:ascii="Times New Roman" w:hAnsi="Times New Roman" w:eastAsia="仿宋_GB2312" w:cs="Times New Roman"/>
          <w:sz w:val="32"/>
          <w:szCs w:val="32"/>
          <w:lang w:val="en-US" w:eastAsia="zh-CN"/>
        </w:rPr>
        <w:t>本专业我校近年毕业生去向落实率为94.07</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12.智慧健康养老服务与管理专业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专业代码：590302</w:t>
      </w:r>
      <w:r>
        <w:rPr>
          <w:rFonts w:hint="eastAsia" w:ascii="Times New Roman" w:hAnsi="Times New Roman" w:eastAsia="仿宋_GB2312" w:cs="Times New Roman"/>
          <w:b/>
          <w:bCs/>
          <w:sz w:val="32"/>
          <w:szCs w:val="32"/>
          <w:lang w:eastAsia="zh-CN"/>
        </w:rPr>
        <w:t>）</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培养具备服务老年社会和管理社区生活，掌握营养学、管理学、社会工作、社区服务、健康管理和心理学、智慧康养等方面知识和技术技能，能够从事老年人的生活护理、健康管理、社会工作、公共营养、文娱活动策划、智慧设备应用等工作的养老护理人才和老年活动策划人才。</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开设有公共基础课（思想道德与法治、毛泽东思想和中国特色社会主义理论体系概论、大学生心理健康教育、大学生职业发展与创新创业教育等）和专业课程（老年人体生理学、老年服务与管理概论、老年康复与保健、老年健康照护养老机构经营与管理、老年社会工作与实务等）。</w:t>
      </w:r>
      <w:r>
        <w:rPr>
          <w:rFonts w:hint="eastAsia" w:ascii="Times New Roman" w:hAnsi="Times New Roman" w:eastAsia="仿宋_GB2312" w:cs="Times New Roman"/>
          <w:sz w:val="32"/>
          <w:szCs w:val="32"/>
          <w:lang w:val="en-US" w:eastAsia="zh-CN"/>
        </w:rPr>
        <w:t>本专业我校近年毕业生去向落实率为89.62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13.农村电子商务专业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专业代码：530705</w:t>
      </w:r>
      <w:r>
        <w:rPr>
          <w:rFonts w:hint="eastAsia" w:ascii="Times New Roman" w:hAnsi="Times New Roman" w:eastAsia="仿宋_GB2312" w:cs="Times New Roman"/>
          <w:b/>
          <w:bCs/>
          <w:sz w:val="32"/>
          <w:szCs w:val="32"/>
          <w:lang w:eastAsia="zh-CN"/>
        </w:rPr>
        <w:t>）</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培养具有良好的人文素养、职业道德和创新意识和可持续发展能力，有一定的互联网和相关服务业、批发业、零售业等行业的开展销售和商务咨询相关专业知识，能够胜任农产品网络营销、农产品网站运营、农产品网站推广、农村物流管理运营等工作的技术技能人才。</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开设有公共基础课（思想道德与法治、毛泽东思想和中国特色社会主义理论体系概论、大学生心理健康教育、大学生职业发展与创新创业教育等）和专业必修课（农产品电子商务、农产品营销与贸易、农业企业经营与管理、商务数据分析与应用、农产品市场分析等）。</w:t>
      </w:r>
    </w:p>
    <w:p>
      <w:pPr>
        <w:spacing w:line="520" w:lineRule="exact"/>
        <w:ind w:firstLine="640" w:firstLineChars="200"/>
        <w:rPr>
          <w:rFonts w:hint="default" w:ascii="楷体_GB2312" w:hAnsi="楷体_GB2312" w:eastAsia="楷体_GB2312" w:cs="楷体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（五）马克思主义学院</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14.小学道德与法治教育专业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专业代码：570111K</w:t>
      </w:r>
      <w:r>
        <w:rPr>
          <w:rFonts w:hint="eastAsia" w:ascii="Times New Roman" w:hAnsi="Times New Roman" w:eastAsia="仿宋_GB2312" w:cs="Times New Roman"/>
          <w:b/>
          <w:bCs/>
          <w:sz w:val="32"/>
          <w:szCs w:val="32"/>
          <w:lang w:eastAsia="zh-CN"/>
        </w:rPr>
        <w:t>）</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培养具有马克思主义理论素养、政策理论素养，系统掌握马克思主义基本理论、思想政治教育的基本理论和技能，能胜任小学道德与法治课教学、德育管理工作以及在党政群团、企事业单位从事思想政治教育工作的高素质实用性人才。</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开设有公共基础课（大学语文、大学英语、计算机应用基础、心理健康教育、职业发展与就业指导等）、专业课程（马克思主义基本原理、思想政治教育学原理，毛泽东思想与中国特色社会主义理论体系概论、思想道德与法治、习近平新时代中国特色社会主义思想概论、小学道德与法治教学设计等）和教师教育课程（教育心理学、教师口语表达、教师职业道德修养等）。</w:t>
      </w:r>
      <w:r>
        <w:rPr>
          <w:rFonts w:hint="eastAsia" w:ascii="Times New Roman" w:hAnsi="Times New Roman" w:eastAsia="仿宋_GB2312" w:cs="Times New Roman"/>
          <w:sz w:val="32"/>
          <w:szCs w:val="32"/>
          <w:lang w:val="en-US" w:eastAsia="zh-CN"/>
        </w:rPr>
        <w:t>本专业我校近年毕业生去向落实率为92.86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pPr>
        <w:spacing w:line="520" w:lineRule="exact"/>
        <w:ind w:firstLine="640" w:firstLineChars="200"/>
        <w:rPr>
          <w:rFonts w:hint="eastAsia" w:ascii="楷体_GB2312" w:hAnsi="楷体_GB2312" w:eastAsia="楷体_GB2312" w:cs="楷体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（六）基础教学部</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15.体育教育专业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专业代码：570110K</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专业主要培养具有系统的体育教育专业技能、专业知识，适应现代化体育教育改革和发展需要，从事体育教学、课外体育活动、运动训练与运动竞赛，以及社会体育指导、体育管理和体育培训等工作的技术技能型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专业主要开设有公共基础课（思想道德与法治、毛泽东思想和中国特色社会主义理论体系概论、大学生心理健康教育、大学生职业发展与创新创业教育等）和专业课程（运动解剖学、运动生理学、田径、篮球、武术、足球、体操、排球、学校体育学、体育游戏、健美操、体育舞蹈、教育心理学等）。本专业我校近年毕业生去向落实率为92.68%。</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16.休闲体育专业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专业代码：570302</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本专业主要培养具有系统的休闲体育基本理论、知识与技能，能够从事景区、旅行社、体育俱乐部、体能中心等单位休闲体育研究、体育旅游、休闲体育产品策划与设计工作的技术技能型人才。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专业主要开设有公共基础课（思想道德与法治、毛泽东思想和中国特色社会主义理论体系概论、大学生心理健康教育、大学生职业发展与创新创业教育等）和专业课程（户外运动、趣味体育项目创编与组织、休闲体育概论、少儿体适能、户外拓展、体能训练与指导等）。</w:t>
      </w:r>
    </w:p>
    <w:p>
      <w:pPr>
        <w:spacing w:line="520" w:lineRule="exact"/>
        <w:ind w:firstLine="640" w:firstLineChars="200"/>
        <w:rPr>
          <w:rFonts w:hint="eastAsia" w:ascii="楷体_GB2312" w:hAnsi="楷体_GB2312" w:eastAsia="楷体_GB2312" w:cs="楷体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（七）信息技术系</w:t>
      </w:r>
    </w:p>
    <w:p>
      <w:pPr>
        <w:spacing w:line="52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17.计算机应用技术专业</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专业代码：510201</w:t>
      </w:r>
      <w:r>
        <w:rPr>
          <w:rFonts w:hint="eastAsia" w:ascii="Times New Roman" w:hAnsi="Times New Roman" w:eastAsia="仿宋_GB2312" w:cs="Times New Roman"/>
          <w:b/>
          <w:bCs/>
          <w:sz w:val="32"/>
          <w:szCs w:val="32"/>
          <w:lang w:eastAsia="zh-CN"/>
        </w:rPr>
        <w:t>）</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培养具备从事办公设备和局域网维护、web应用开发、移动APP开发、网站管理与设计、软件测试等工作能力和技能，能胜任计算机应用技术专业工作和互联网产业职业技能的复合型初中级运维和开发人才。</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专业主要开设有公共基础课（思想道德与法治、毛泽东思想和中国特色社会主义理论体系概论、大学生心理健康教育、大学生职业发展与创新创业教育等）和专业课（计算机网络基础、网络高级技术、Java程序设计、网页设计与制作、Linux操作系统、VUE、Photoshop图像处理、数据库管理、企业级项目开发等）。</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、报考条件及类别</w:t>
      </w:r>
    </w:p>
    <w:p>
      <w:pPr>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（一）报考条件</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已参加202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年四川省普通高等学校招生报名，且符合学校招生条件的考生。</w:t>
      </w:r>
    </w:p>
    <w:p>
      <w:pPr>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报考类别</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普高类：普通高中毕业生</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中职类：中等职业学校毕业生</w:t>
      </w:r>
    </w:p>
    <w:p>
      <w:pPr>
        <w:numPr>
          <w:ilvl w:val="0"/>
          <w:numId w:val="0"/>
        </w:numPr>
        <w:spacing w:line="520" w:lineRule="exact"/>
        <w:ind w:firstLine="756" w:firstLineChars="200"/>
        <w:rPr>
          <w:rFonts w:hint="eastAsia" w:ascii="黑体" w:hAnsi="黑体" w:eastAsia="黑体" w:cs="黑体"/>
          <w:color w:val="000000" w:themeColor="text1"/>
          <w:spacing w:val="29"/>
          <w:sz w:val="32"/>
          <w:szCs w:val="32"/>
          <w:shd w:val="clear" w:color="auto" w:fill="FFFFFF"/>
          <w14:textFill>
            <w14:solidFill>
              <w14:schemeClr w14:val="tx1"/>
            </w14:solidFill>
          </w14:textFill>
        </w:rPr>
      </w:pPr>
      <w:r>
        <w:rPr>
          <w:rFonts w:hint="eastAsia" w:ascii="黑体" w:hAnsi="黑体" w:eastAsia="黑体" w:cs="黑体"/>
          <w:color w:val="000000" w:themeColor="text1"/>
          <w:spacing w:val="29"/>
          <w:sz w:val="32"/>
          <w:szCs w:val="32"/>
          <w:shd w:val="clear" w:color="auto" w:fill="FFFFFF"/>
          <w:lang w:val="en-US" w:eastAsia="zh-CN"/>
          <w14:textFill>
            <w14:solidFill>
              <w14:schemeClr w14:val="tx1"/>
            </w14:solidFill>
          </w14:textFill>
        </w:rPr>
        <w:t>四、</w:t>
      </w:r>
      <w:r>
        <w:rPr>
          <w:rFonts w:hint="eastAsia" w:ascii="黑体" w:hAnsi="黑体" w:eastAsia="黑体" w:cs="黑体"/>
          <w:sz w:val="32"/>
          <w:szCs w:val="32"/>
          <w:lang w:val="en-US" w:eastAsia="zh-CN"/>
        </w:rPr>
        <w:t>招生专业</w:t>
      </w:r>
    </w:p>
    <w:tbl>
      <w:tblPr>
        <w:tblStyle w:val="8"/>
        <w:tblW w:w="877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8"/>
        <w:gridCol w:w="1356"/>
        <w:gridCol w:w="1152"/>
        <w:gridCol w:w="996"/>
        <w:gridCol w:w="2028"/>
        <w:gridCol w:w="816"/>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4"/>
                <w:lang w:val="en-US" w:eastAsia="zh-CN" w:bidi="ar"/>
              </w:rPr>
              <w:t>专业代码</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4"/>
                <w:lang w:val="en-US" w:eastAsia="zh-CN" w:bidi="ar"/>
              </w:rPr>
              <w:t>专业名称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4"/>
                <w:lang w:val="en-US" w:eastAsia="zh-CN" w:bidi="ar"/>
              </w:rPr>
              <w:t>专业代号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5"/>
                <w:lang w:val="en-US" w:eastAsia="zh-CN" w:bidi="ar"/>
              </w:rPr>
              <w:t>类别</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5"/>
                <w:lang w:val="en-US" w:eastAsia="zh-CN" w:bidi="ar"/>
              </w:rPr>
              <w:t>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计划</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学费标准（元/年）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570101K</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早期教育</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普高类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不分科类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教育类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570102K</w:t>
            </w:r>
          </w:p>
        </w:tc>
        <w:tc>
          <w:tcPr>
            <w:tcW w:w="13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学前教育</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普高类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不分科类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教育类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570103K</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小学教育</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普高类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不分科类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教育类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570111K</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小学道德与法治教育</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普高类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不分科类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教育类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570116K</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心理健康教育</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普高类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不分科类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教育类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530302</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大数据与会计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普高类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不分科类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教育类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公共管理与服务类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财经商贸类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540101</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旅游管理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普高类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不分科类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教育类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公共管理与服务类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旅游类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餐饮类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590302</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智慧健康养老服务与管理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普高类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不分科类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教育类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公共管理与服务类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医药类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护理类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530705</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农村电子商务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PE</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普高类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不分科类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E1</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教育类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E2</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公共管理与服务类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E3</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计算机类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E4</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电子信息类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510201</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计算机应用技术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PF</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普高类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不分科类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F1</w:t>
            </w:r>
          </w:p>
        </w:tc>
        <w:tc>
          <w:tcPr>
            <w:tcW w:w="99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计算机类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F2</w:t>
            </w:r>
          </w:p>
        </w:tc>
        <w:tc>
          <w:tcPr>
            <w:tcW w:w="99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电子信息类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590401</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现代文秘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PG</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普高类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不分科类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教育类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570109K</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美术教育</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7"/>
                <w:rFonts w:hAnsi="Times New Roman"/>
                <w:lang w:val="en-US" w:eastAsia="zh-CN" w:bidi="ar"/>
              </w:rPr>
              <w:t>文化艺术类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550102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视觉传达设计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rFonts w:hAnsi="Times New Roman"/>
                <w:lang w:val="en-US" w:eastAsia="zh-CN" w:bidi="ar"/>
              </w:rPr>
              <w:t>中职类</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7"/>
                <w:rFonts w:hAnsi="Times New Roman"/>
                <w:lang w:val="en-US" w:eastAsia="zh-CN" w:bidi="ar"/>
              </w:rPr>
              <w:t>文化艺术类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8000</w:t>
            </w:r>
          </w:p>
        </w:tc>
      </w:tr>
    </w:tbl>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b/>
          <w:bCs/>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备注：</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b w:val="0"/>
          <w:bCs w:val="0"/>
          <w:sz w:val="32"/>
          <w:szCs w:val="32"/>
          <w:lang w:val="en-US" w:eastAsia="zh-CN"/>
        </w:rPr>
        <w:t>招生专业、招生专业代号、招生计划以四川省教育考试院公布为准。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2.学生的学费和住宿费标准，严格按照省发展改革委、教育厅、财政厅、省市场监管局有关政策执行。服务性收费和代收费按照规定的项目，坚持学生自愿、不得营利的原则收取。</w:t>
      </w:r>
    </w:p>
    <w:p>
      <w:pPr>
        <w:spacing w:line="52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五、志愿填报</w:t>
      </w:r>
    </w:p>
    <w:p>
      <w:pPr>
        <w:spacing w:line="52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（一）填报时间</w:t>
      </w:r>
    </w:p>
    <w:p>
      <w:pPr>
        <w:spacing w:line="520" w:lineRule="exact"/>
        <w:ind w:firstLine="640" w:firstLineChars="200"/>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Times New Roman"/>
          <w:sz w:val="32"/>
          <w:szCs w:val="32"/>
          <w:lang w:val="en-US" w:eastAsia="zh-CN"/>
        </w:rPr>
        <w:t>考生应在高职单招成绩发布后，于 2024年4月3日9:00至4月8日17:00期间登录四川省教育考试院官方网站（https://www.sceea.cn）</w:t>
      </w:r>
      <w:r>
        <w:rPr>
          <w:rFonts w:hint="eastAsia" w:ascii="仿宋_GB2312" w:hAnsi="仿宋_GB2312" w:eastAsia="仿宋_GB2312" w:cs="仿宋_GB2312"/>
          <w:b w:val="0"/>
          <w:bCs w:val="0"/>
          <w:sz w:val="32"/>
          <w:szCs w:val="32"/>
          <w:lang w:eastAsia="zh-CN"/>
        </w:rPr>
        <w:t>进行高职单招志愿填报，建议在平行志愿</w:t>
      </w:r>
      <w:r>
        <w:rPr>
          <w:rFonts w:hint="eastAsia" w:ascii="仿宋_GB2312" w:hAnsi="仿宋_GB2312" w:eastAsia="仿宋_GB2312" w:cs="仿宋_GB2312"/>
          <w:b w:val="0"/>
          <w:bCs w:val="0"/>
          <w:sz w:val="32"/>
          <w:szCs w:val="32"/>
          <w:lang w:val="en-US" w:eastAsia="zh-CN"/>
        </w:rPr>
        <w:t>A院校位置</w:t>
      </w:r>
      <w:r>
        <w:rPr>
          <w:rFonts w:hint="eastAsia" w:ascii="Times New Roman" w:hAnsi="Times New Roman" w:eastAsia="仿宋_GB2312" w:cs="Times New Roman"/>
          <w:sz w:val="32"/>
          <w:szCs w:val="32"/>
          <w:lang w:val="en-US" w:eastAsia="zh-CN"/>
        </w:rPr>
        <w:t>选择</w:t>
      </w:r>
      <w:r>
        <w:rPr>
          <w:rFonts w:hint="eastAsia"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lang w:val="en-US" w:eastAsia="zh-CN"/>
        </w:rPr>
        <w:t>5789-</w:t>
      </w:r>
      <w:r>
        <w:rPr>
          <w:rFonts w:hint="eastAsia" w:ascii="仿宋_GB2312" w:hAnsi="仿宋_GB2312" w:eastAsia="仿宋_GB2312" w:cs="仿宋_GB2312"/>
          <w:b/>
          <w:bCs/>
          <w:sz w:val="32"/>
          <w:szCs w:val="32"/>
          <w:lang w:eastAsia="zh-CN"/>
        </w:rPr>
        <w:t>西昌民族幼儿师范高等专科学校</w:t>
      </w:r>
      <w:r>
        <w:rPr>
          <w:rFonts w:hint="eastAsia"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lang w:eastAsia="zh-CN"/>
        </w:rPr>
        <w:t>进行志愿填报，并勾选服从专业调剂</w:t>
      </w:r>
      <w:r>
        <w:rPr>
          <w:rFonts w:hint="eastAsia" w:ascii="仿宋_GB2312" w:hAnsi="仿宋_GB2312" w:eastAsia="仿宋_GB2312" w:cs="仿宋_GB2312"/>
          <w:b w:val="0"/>
          <w:bCs w:val="0"/>
          <w:sz w:val="32"/>
          <w:szCs w:val="32"/>
          <w:lang w:eastAsia="zh-CN"/>
        </w:rPr>
        <w:t>。</w:t>
      </w:r>
    </w:p>
    <w:p>
      <w:pPr>
        <w:spacing w:line="52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（二）志愿类别</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高职单招志愿按招生对象分为针对普通高中毕业生的“普高类”和针对中等职业学校毕业生的“中职类”。</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“普高类”考生应根据我校普高类分专业招生计划进行填报。“中职类”考生应根据属专业类别填报我校对应专业类别招生的专业，不得跨类别填报。</w:t>
      </w:r>
    </w:p>
    <w:p>
      <w:pPr>
        <w:spacing w:line="52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六、录取及放弃资格</w:t>
      </w:r>
    </w:p>
    <w:p>
      <w:pPr>
        <w:spacing w:line="52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rPr>
        <w:t>（一）录取原则和办法</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学校认可四川省规定加分政策，实行分数优先的原则，</w:t>
      </w:r>
      <w:r>
        <w:rPr>
          <w:rFonts w:hint="default" w:ascii="Times New Roman" w:hAnsi="Times New Roman" w:eastAsia="仿宋_GB2312" w:cs="Times New Roman"/>
          <w:sz w:val="32"/>
          <w:szCs w:val="32"/>
        </w:rPr>
        <w:t>对进档考生的专业安排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从高分到低分进行录取，专业志愿之间不设分数级差。投档成绩相同时，按四川省确定的高职单招同分排序规则进行录取。</w:t>
      </w:r>
      <w:r>
        <w:rPr>
          <w:rFonts w:hint="eastAsia" w:ascii="Times New Roman" w:hAnsi="Times New Roman" w:eastAsia="仿宋_GB2312" w:cs="Times New Roman"/>
          <w:sz w:val="32"/>
          <w:szCs w:val="32"/>
          <w:lang w:val="en-US" w:eastAsia="zh-CN"/>
        </w:rPr>
        <w:t>同时，报考的专业须符合《普通高等学校招生体检工作指导意见》及有关补充规定。</w:t>
      </w:r>
    </w:p>
    <w:p>
      <w:pPr>
        <w:spacing w:line="52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（二）放弃录取资格办理</w:t>
      </w:r>
    </w:p>
    <w:p>
      <w:pPr>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考生在</w:t>
      </w: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4月10日17:00 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登录四川省教育考试院官方网站（https://www.sceea.cn）查询本人投档情况。</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拟申请放弃录取资格的已投档考生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须在</w:t>
      </w: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4月12日12:00前，持准考证、身份证和自愿放弃录取资格申请书（申请书须考生及家长签字并捺手印），交学校招生就业处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或扫描</w:t>
      </w:r>
      <w:r>
        <w:rPr>
          <w:rFonts w:hint="eastAsia" w:ascii="Times New Roman" w:hAnsi="Times New Roman" w:eastAsia="仿宋_GB2312" w:cs="Times New Roman"/>
          <w:sz w:val="32"/>
          <w:szCs w:val="32"/>
          <w:lang w:eastAsia="zh-CN"/>
        </w:rPr>
        <w:t>后发送</w:t>
      </w:r>
      <w:r>
        <w:rPr>
          <w:rFonts w:hint="default" w:ascii="Times New Roman" w:hAnsi="Times New Roman" w:eastAsia="仿宋_GB2312" w:cs="Times New Roman"/>
          <w:sz w:val="32"/>
          <w:szCs w:val="32"/>
        </w:rPr>
        <w:t>至指定邮箱（邮箱地址：826291553@qq.com）办理相关手续，逾期不再受理。</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未办理本次放弃录取资格申请手续的考生视为同意学校录取意见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因放弃录取资格而产生的缺额，学校不再</w:t>
      </w:r>
      <w:r>
        <w:rPr>
          <w:rFonts w:hint="eastAsia" w:ascii="Times New Roman" w:hAnsi="Times New Roman" w:eastAsia="仿宋_GB2312" w:cs="Times New Roman"/>
          <w:sz w:val="32"/>
          <w:szCs w:val="32"/>
          <w:lang w:eastAsia="zh-CN"/>
        </w:rPr>
        <w:t>递补</w:t>
      </w:r>
      <w:r>
        <w:rPr>
          <w:rFonts w:hint="default" w:ascii="Times New Roman" w:hAnsi="Times New Roman" w:eastAsia="仿宋_GB2312" w:cs="Times New Roman"/>
          <w:sz w:val="32"/>
          <w:szCs w:val="32"/>
        </w:rPr>
        <w:t>录取。</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考生被学校正式录取后不得换录，也不再参加普通高考或对口招生考试。</w:t>
      </w:r>
    </w:p>
    <w:p>
      <w:pPr>
        <w:numPr>
          <w:ilvl w:val="0"/>
          <w:numId w:val="0"/>
        </w:numPr>
        <w:spacing w:line="520" w:lineRule="exact"/>
        <w:ind w:firstLine="640" w:firstLineChars="200"/>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七、考生问答</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问1：学校对学生如何进行管理?</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答：学校为学生班级配有专职辅导员，负责学生的思想政治教育、党团组织建设、日常行为规范、组织纪律等方面的工作。为保障学生正常的学习与生活秩序，学校制定有严格的德育量化考核制度和学生公寓管理制度。</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问2：学校学生宿舍条件如何？</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答：我校学生宿舍为标准8人间，每间寝室内有卫生间、洗漱间、衣柜、热水供应系统等，实行公寓化管理。</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问3：新生进校后可以转专业吗?</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答：根据学校转专业相关办法，学生可在第一学期期末提出申请，符合转专业条件的学生经学校考核合格后可以转专业。</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问4：学校是否可以进行“专升本”？</w:t>
      </w:r>
    </w:p>
    <w:p>
      <w:pPr>
        <w:spacing w:line="520" w:lineRule="exact"/>
        <w:ind w:firstLine="640" w:firstLineChars="200"/>
        <w:rPr>
          <w:rFonts w:hint="eastAsia" w:ascii="黑体" w:hAnsi="黑体" w:eastAsia="黑体" w:cs="黑体"/>
          <w:color w:val="000000"/>
          <w:sz w:val="32"/>
          <w:szCs w:val="32"/>
          <w:shd w:val="clear" w:color="auto" w:fill="FFFFFF"/>
          <w:lang w:val="en-US" w:eastAsia="zh-CN"/>
        </w:rPr>
      </w:pPr>
      <w:r>
        <w:rPr>
          <w:rFonts w:hint="eastAsia" w:ascii="Times New Roman" w:hAnsi="Times New Roman" w:eastAsia="仿宋_GB2312" w:cs="Times New Roman"/>
          <w:sz w:val="32"/>
          <w:szCs w:val="32"/>
          <w:lang w:val="en-US" w:eastAsia="zh-CN"/>
        </w:rPr>
        <w:t>答：根据四川省的相关规定，所有专科毕业生在毕业当年可以参加全省组织的专升本考试，经考核合格可以升入相应的本科高校就读。</w:t>
      </w:r>
    </w:p>
    <w:p>
      <w:pPr>
        <w:numPr>
          <w:ilvl w:val="0"/>
          <w:numId w:val="0"/>
        </w:numPr>
        <w:spacing w:line="520" w:lineRule="exact"/>
        <w:ind w:firstLine="640" w:firstLineChars="200"/>
        <w:rPr>
          <w:rFonts w:hint="eastAsia" w:ascii="黑体" w:hAnsi="黑体" w:eastAsia="黑体" w:cs="黑体"/>
          <w:sz w:val="32"/>
          <w:szCs w:val="32"/>
          <w:lang w:eastAsia="zh-CN"/>
        </w:rPr>
      </w:pPr>
      <w:r>
        <w:rPr>
          <w:rFonts w:hint="eastAsia" w:ascii="黑体" w:hAnsi="黑体" w:eastAsia="黑体" w:cs="黑体"/>
          <w:color w:val="000000"/>
          <w:sz w:val="32"/>
          <w:szCs w:val="32"/>
          <w:shd w:val="clear" w:color="auto" w:fill="FFFFFF"/>
          <w:lang w:val="en-US" w:eastAsia="zh-CN"/>
        </w:rPr>
        <w:t>八、</w:t>
      </w:r>
      <w:r>
        <w:rPr>
          <w:rFonts w:hint="eastAsia" w:ascii="黑体" w:hAnsi="黑体" w:eastAsia="黑体" w:cs="黑体"/>
          <w:color w:val="000000"/>
          <w:sz w:val="32"/>
          <w:szCs w:val="32"/>
          <w:shd w:val="clear" w:color="auto" w:fill="FFFFFF"/>
        </w:rPr>
        <w:t>咨询</w:t>
      </w:r>
      <w:r>
        <w:rPr>
          <w:rFonts w:hint="eastAsia" w:ascii="黑体" w:hAnsi="黑体" w:eastAsia="黑体" w:cs="黑体"/>
          <w:color w:val="000000"/>
          <w:sz w:val="32"/>
          <w:szCs w:val="32"/>
          <w:shd w:val="clear" w:color="auto" w:fill="FFFFFF"/>
          <w:lang w:eastAsia="zh-CN"/>
        </w:rPr>
        <w:t>联系方式</w:t>
      </w:r>
    </w:p>
    <w:p>
      <w:pPr>
        <w:spacing w:line="52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（一）招生咨询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招生就业处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0834-6993870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6955737</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0834-6998069</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学前教育系:0834-6993197</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小学教育系:0834-6992827</w:t>
      </w:r>
    </w:p>
    <w:p>
      <w:pPr>
        <w:spacing w:line="5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艺术教育系</w:t>
      </w:r>
      <w:r>
        <w:rPr>
          <w:rFonts w:hint="eastAsia" w:ascii="仿宋_GB2312" w:hAnsi="仿宋_GB2312" w:eastAsia="仿宋_GB2312" w:cs="仿宋_GB2312"/>
          <w:sz w:val="32"/>
          <w:szCs w:val="32"/>
          <w:lang w:val="en-US" w:eastAsia="zh-CN"/>
        </w:rPr>
        <w:t>:0834-6992829</w:t>
      </w:r>
    </w:p>
    <w:p>
      <w:pPr>
        <w:spacing w:line="5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职业教育系</w:t>
      </w:r>
      <w:r>
        <w:rPr>
          <w:rFonts w:hint="eastAsia" w:ascii="仿宋_GB2312" w:hAnsi="仿宋_GB2312" w:eastAsia="仿宋_GB2312" w:cs="仿宋_GB2312"/>
          <w:sz w:val="32"/>
          <w:szCs w:val="32"/>
          <w:lang w:val="en-US" w:eastAsia="zh-CN"/>
        </w:rPr>
        <w:t>:0834-6952108</w:t>
      </w:r>
    </w:p>
    <w:p>
      <w:pPr>
        <w:spacing w:line="520" w:lineRule="exact"/>
        <w:ind w:firstLine="51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w w:val="80"/>
          <w:sz w:val="32"/>
          <w:szCs w:val="32"/>
          <w:lang w:eastAsia="zh-CN"/>
        </w:rPr>
        <w:t>马克思主义学院</w:t>
      </w:r>
      <w:r>
        <w:rPr>
          <w:rFonts w:hint="eastAsia" w:ascii="仿宋_GB2312" w:hAnsi="仿宋_GB2312" w:eastAsia="仿宋_GB2312" w:cs="仿宋_GB2312"/>
          <w:w w:val="80"/>
          <w:sz w:val="32"/>
          <w:szCs w:val="32"/>
          <w:lang w:val="en-US" w:eastAsia="zh-CN"/>
        </w:rPr>
        <w:t>:</w:t>
      </w:r>
      <w:r>
        <w:rPr>
          <w:rFonts w:hint="eastAsia" w:ascii="仿宋_GB2312" w:hAnsi="仿宋_GB2312" w:eastAsia="仿宋_GB2312" w:cs="仿宋_GB2312"/>
          <w:sz w:val="32"/>
          <w:szCs w:val="32"/>
          <w:lang w:val="en-US" w:eastAsia="zh-CN"/>
        </w:rPr>
        <w:t>0843-3226161</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信息技术系</w:t>
      </w:r>
      <w:r>
        <w:rPr>
          <w:rFonts w:hint="eastAsia" w:ascii="仿宋_GB2312" w:hAnsi="仿宋_GB2312" w:eastAsia="仿宋_GB2312" w:cs="仿宋_GB2312"/>
          <w:sz w:val="32"/>
          <w:szCs w:val="32"/>
          <w:lang w:val="en-US" w:eastAsia="zh-CN"/>
        </w:rPr>
        <w:t>:0834-2196890</w:t>
      </w:r>
    </w:p>
    <w:p>
      <w:pPr>
        <w:spacing w:line="520" w:lineRule="exact"/>
        <w:ind w:firstLine="640" w:firstLineChars="200"/>
        <w:rPr>
          <w:rFonts w:hint="default" w:ascii="楷体" w:hAnsi="楷体" w:eastAsia="仿宋_GB2312" w:cs="楷体"/>
          <w:sz w:val="32"/>
          <w:szCs w:val="32"/>
          <w:lang w:val="en-US" w:eastAsia="zh-CN"/>
        </w:rPr>
      </w:pPr>
      <w:r>
        <w:rPr>
          <w:rFonts w:hint="eastAsia" w:ascii="楷体_GB2312" w:hAnsi="楷体_GB2312" w:eastAsia="楷体_GB2312" w:cs="楷体_GB2312"/>
          <w:sz w:val="32"/>
          <w:szCs w:val="32"/>
          <w:lang w:eastAsia="zh-CN"/>
        </w:rPr>
        <w:t>（二）信访监督：</w:t>
      </w:r>
      <w:r>
        <w:rPr>
          <w:rFonts w:hint="eastAsia" w:ascii="仿宋_GB2312" w:hAnsi="仿宋_GB2312" w:eastAsia="仿宋_GB2312" w:cs="仿宋_GB2312"/>
          <w:sz w:val="32"/>
          <w:szCs w:val="32"/>
        </w:rPr>
        <w:t>0834-6992816</w:t>
      </w:r>
      <w:r>
        <w:rPr>
          <w:rFonts w:hint="eastAsia" w:ascii="仿宋_GB2312" w:hAnsi="仿宋_GB2312" w:eastAsia="仿宋_GB2312" w:cs="仿宋_GB2312"/>
          <w:sz w:val="32"/>
          <w:szCs w:val="32"/>
          <w:lang w:val="en-US" w:eastAsia="zh-CN"/>
        </w:rPr>
        <w:t>/8603588</w:t>
      </w:r>
    </w:p>
    <w:p>
      <w:pPr>
        <w:spacing w:line="52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学校网址</w:t>
      </w:r>
      <w:r>
        <w:rPr>
          <w:rFonts w:hint="eastAsia" w:ascii="楷体_GB2312" w:hAnsi="楷体_GB2312" w:eastAsia="楷体_GB2312" w:cs="楷体_GB2312"/>
          <w:sz w:val="32"/>
          <w:szCs w:val="32"/>
          <w:lang w:eastAsia="zh-CN"/>
        </w:rPr>
        <w:t>及公众号</w:t>
      </w:r>
      <w:r>
        <w:rPr>
          <w:rFonts w:hint="eastAsia" w:ascii="楷体_GB2312" w:hAnsi="楷体_GB2312" w:eastAsia="楷体_GB2312" w:cs="楷体_GB2312"/>
          <w:sz w:val="32"/>
          <w:szCs w:val="32"/>
        </w:rPr>
        <w:t>：</w:t>
      </w:r>
    </w:p>
    <w:p>
      <w:pPr>
        <w:spacing w:line="520" w:lineRule="exact"/>
        <w:ind w:firstLine="640" w:firstLineChars="200"/>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u w:val="none"/>
          <w14:textFill>
            <w14:solidFill>
              <w14:schemeClr w14:val="tx1"/>
            </w14:solidFill>
          </w14:textFill>
        </w:rPr>
        <w:instrText xml:space="preserve"> HYPERLINK "https://www.xcmzyz.edu.cn" </w:instrTex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separate"/>
      </w:r>
      <w:r>
        <w:rPr>
          <w:rStyle w:val="11"/>
          <w:rFonts w:hint="eastAsia" w:ascii="仿宋_GB2312" w:hAnsi="仿宋_GB2312" w:eastAsia="仿宋_GB2312" w:cs="仿宋_GB2312"/>
          <w:color w:val="000000" w:themeColor="text1"/>
          <w:sz w:val="32"/>
          <w:szCs w:val="32"/>
          <w:u w:val="none"/>
          <w14:textFill>
            <w14:solidFill>
              <w14:schemeClr w14:val="tx1"/>
            </w14:solidFill>
          </w14:textFill>
        </w:rPr>
        <w:t>https://www.xcmzyz.edu.cn</w: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p>
    <w:p>
      <w:pPr>
        <w:pStyle w:val="2"/>
        <w:rPr>
          <w:rFonts w:hint="eastAsia"/>
        </w:rPr>
      </w:pPr>
    </w:p>
    <w:p>
      <w:pPr>
        <w:pStyle w:val="2"/>
        <w:tabs>
          <w:tab w:val="left" w:pos="5481"/>
        </w:tabs>
        <w:rPr>
          <w:rFonts w:hint="default"/>
          <w:lang w:val="en-US"/>
        </w:rPr>
      </w:pPr>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3740150</wp:posOffset>
            </wp:positionH>
            <wp:positionV relativeFrom="paragraph">
              <wp:posOffset>109220</wp:posOffset>
            </wp:positionV>
            <wp:extent cx="1355725" cy="1355725"/>
            <wp:effectExtent l="0" t="0" r="635" b="635"/>
            <wp:wrapSquare wrapText="bothSides"/>
            <wp:docPr id="7" name="图片 7" descr="qrcode_for_gh_6dd7f53606a7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rcode_for_gh_6dd7f53606a7_258"/>
                    <pic:cNvPicPr>
                      <a:picLocks noChangeAspect="1"/>
                    </pic:cNvPicPr>
                  </pic:nvPicPr>
                  <pic:blipFill>
                    <a:blip r:embed="rId5"/>
                    <a:stretch>
                      <a:fillRect/>
                    </a:stretch>
                  </pic:blipFill>
                  <pic:spPr>
                    <a:xfrm>
                      <a:off x="0" y="0"/>
                      <a:ext cx="1355725" cy="1355725"/>
                    </a:xfrm>
                    <a:prstGeom prst="rect">
                      <a:avLst/>
                    </a:prstGeom>
                  </pic:spPr>
                </pic:pic>
              </a:graphicData>
            </a:graphic>
          </wp:anchor>
        </w:drawing>
      </w:r>
      <w:r>
        <w:rPr>
          <w:rFonts w:hint="eastAsia" w:eastAsiaTheme="minorEastAsia"/>
          <w:lang w:eastAsia="zh-CN"/>
        </w:rPr>
        <w:drawing>
          <wp:inline distT="0" distB="0" distL="114300" distR="114300">
            <wp:extent cx="1266825" cy="1423670"/>
            <wp:effectExtent l="0" t="0" r="13335" b="8890"/>
            <wp:docPr id="6" name="图片 6" descr="学校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校官网"/>
                    <pic:cNvPicPr>
                      <a:picLocks noChangeAspect="1"/>
                    </pic:cNvPicPr>
                  </pic:nvPicPr>
                  <pic:blipFill>
                    <a:blip r:embed="rId6"/>
                    <a:stretch>
                      <a:fillRect/>
                    </a:stretch>
                  </pic:blipFill>
                  <pic:spPr>
                    <a:xfrm>
                      <a:off x="0" y="0"/>
                      <a:ext cx="1266825" cy="1423670"/>
                    </a:xfrm>
                    <a:prstGeom prst="rect">
                      <a:avLst/>
                    </a:prstGeom>
                  </pic:spPr>
                </pic:pic>
              </a:graphicData>
            </a:graphic>
          </wp:inline>
        </w:drawing>
      </w:r>
      <w:r>
        <w:rPr>
          <w:rFonts w:ascii="宋体" w:hAnsi="宋体" w:eastAsia="宋体" w:cs="宋体"/>
          <w:sz w:val="24"/>
        </w:rPr>
        <w:drawing>
          <wp:anchor distT="0" distB="0" distL="114300" distR="114300" simplePos="0" relativeHeight="251660288" behindDoc="0" locked="0" layoutInCell="1" allowOverlap="1">
            <wp:simplePos x="0" y="0"/>
            <wp:positionH relativeFrom="column">
              <wp:posOffset>2073910</wp:posOffset>
            </wp:positionH>
            <wp:positionV relativeFrom="paragraph">
              <wp:posOffset>57150</wp:posOffset>
            </wp:positionV>
            <wp:extent cx="1330325" cy="1416685"/>
            <wp:effectExtent l="0" t="0" r="10795" b="635"/>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1330325" cy="1416685"/>
                    </a:xfrm>
                    <a:prstGeom prst="rect">
                      <a:avLst/>
                    </a:prstGeom>
                    <a:noFill/>
                    <a:ln w="9525">
                      <a:noFill/>
                    </a:ln>
                  </pic:spPr>
                </pic:pic>
              </a:graphicData>
            </a:graphic>
          </wp:anchor>
        </w:drawing>
      </w:r>
      <w:r>
        <w:rPr>
          <w:rFonts w:hint="eastAsia"/>
          <w:lang w:eastAsia="zh-CN"/>
        </w:rPr>
        <w:tab/>
      </w:r>
      <w:r>
        <w:rPr>
          <w:rFonts w:hint="eastAsia"/>
          <w:lang w:val="en-US" w:eastAsia="zh-CN"/>
        </w:rPr>
        <w:t xml:space="preserve">                  </w:t>
      </w:r>
    </w:p>
    <w:p>
      <w:pPr>
        <w:pStyle w:val="2"/>
        <w:ind w:firstLine="1353" w:firstLineChars="423"/>
        <w:rPr>
          <w:rFonts w:hint="eastAsia" w:ascii="仿宋_GB2312" w:hAnsi="仿宋_GB2312" w:eastAsia="仿宋_GB2312" w:cs="仿宋_GB2312"/>
          <w:w w:val="80"/>
          <w:sz w:val="32"/>
          <w:szCs w:val="32"/>
          <w:lang w:val="en-US" w:eastAsia="zh-CN"/>
        </w:rPr>
      </w:pPr>
      <w:r>
        <w:rPr>
          <w:rFonts w:hint="eastAsia" w:ascii="仿宋_GB2312" w:hAnsi="仿宋_GB2312" w:eastAsia="仿宋_GB2312" w:cs="仿宋_GB2312"/>
          <w:sz w:val="32"/>
          <w:szCs w:val="32"/>
          <w:lang w:eastAsia="zh-CN"/>
        </w:rPr>
        <w:t>西幼网站</w:t>
      </w:r>
      <w:r>
        <w:rPr>
          <w:rFonts w:hint="eastAsia" w:ascii="仿宋_GB2312" w:hAnsi="仿宋_GB2312" w:eastAsia="仿宋_GB2312" w:cs="仿宋_GB2312"/>
          <w:sz w:val="32"/>
          <w:szCs w:val="32"/>
          <w:lang w:val="en-US" w:eastAsia="zh-CN"/>
        </w:rPr>
        <w:t xml:space="preserve">      西幼</w:t>
      </w:r>
      <w:r>
        <w:rPr>
          <w:rFonts w:hint="eastAsia" w:ascii="仿宋_GB2312" w:hAnsi="仿宋_GB2312" w:eastAsia="仿宋_GB2312" w:cs="仿宋_GB2312"/>
          <w:sz w:val="32"/>
          <w:szCs w:val="32"/>
          <w:lang w:eastAsia="zh-CN"/>
        </w:rPr>
        <w:t>公众号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80"/>
          <w:sz w:val="32"/>
          <w:szCs w:val="32"/>
          <w:lang w:val="en-US" w:eastAsia="zh-CN"/>
        </w:rPr>
        <w:t>西幼招生就业公众号</w:t>
      </w:r>
    </w:p>
    <w:p>
      <w:pPr>
        <w:pStyle w:val="2"/>
        <w:ind w:firstLine="888" w:firstLineChars="423"/>
        <w:rPr>
          <w:rFonts w:hint="default" w:eastAsia="仿宋_GB231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95FC00-2E3F-494C-BAEE-148AB1165A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6311C19-7024-4944-82F1-49229FED4B1D}"/>
  </w:font>
  <w:font w:name="方正小标宋_GBK">
    <w:panose1 w:val="03000509000000000000"/>
    <w:charset w:val="86"/>
    <w:family w:val="script"/>
    <w:pitch w:val="default"/>
    <w:sig w:usb0="00000001" w:usb1="080E0000" w:usb2="00000000" w:usb3="00000000" w:csb0="00040000" w:csb1="00000000"/>
    <w:embedRegular r:id="rId3" w:fontKey="{372A32FF-58F6-41DF-896F-829096843E73}"/>
  </w:font>
  <w:font w:name="楷体_GB2312">
    <w:panose1 w:val="02010609030101010101"/>
    <w:charset w:val="86"/>
    <w:family w:val="auto"/>
    <w:pitch w:val="default"/>
    <w:sig w:usb0="00000001" w:usb1="080E0000" w:usb2="00000000" w:usb3="00000000" w:csb0="00040000" w:csb1="00000000"/>
    <w:embedRegular r:id="rId4" w:fontKey="{D21C076C-7803-4BFE-A552-46DFB7025032}"/>
  </w:font>
  <w:font w:name="楷体">
    <w:panose1 w:val="02010609060101010101"/>
    <w:charset w:val="86"/>
    <w:family w:val="auto"/>
    <w:pitch w:val="default"/>
    <w:sig w:usb0="800002BF" w:usb1="38CF7CFA" w:usb2="00000016" w:usb3="00000000" w:csb0="00040001" w:csb1="00000000"/>
    <w:embedRegular r:id="rId5" w:fontKey="{8FBF72BD-51A0-4525-8051-2A0A73D265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lZTVhNDI5ZmQ2Njg1MGNhOGQ2YTBlOWE5MjI4ZmIifQ=="/>
  </w:docVars>
  <w:rsids>
    <w:rsidRoot w:val="009F2320"/>
    <w:rsid w:val="004338CF"/>
    <w:rsid w:val="005A681C"/>
    <w:rsid w:val="005B5FCA"/>
    <w:rsid w:val="009F2320"/>
    <w:rsid w:val="00C64759"/>
    <w:rsid w:val="01066A48"/>
    <w:rsid w:val="011614FB"/>
    <w:rsid w:val="01945A57"/>
    <w:rsid w:val="01CC1A40"/>
    <w:rsid w:val="01D803E5"/>
    <w:rsid w:val="03CC32F4"/>
    <w:rsid w:val="0400747C"/>
    <w:rsid w:val="04F252B2"/>
    <w:rsid w:val="051113E6"/>
    <w:rsid w:val="05E355AA"/>
    <w:rsid w:val="05EA407A"/>
    <w:rsid w:val="06640499"/>
    <w:rsid w:val="069229D6"/>
    <w:rsid w:val="07350087"/>
    <w:rsid w:val="076D15CF"/>
    <w:rsid w:val="07765A78"/>
    <w:rsid w:val="082D0D5E"/>
    <w:rsid w:val="09076D68"/>
    <w:rsid w:val="09522039"/>
    <w:rsid w:val="095F763D"/>
    <w:rsid w:val="095F7AF2"/>
    <w:rsid w:val="0A2F517D"/>
    <w:rsid w:val="0ABD0ABF"/>
    <w:rsid w:val="0BFB1255"/>
    <w:rsid w:val="0C2B3ED1"/>
    <w:rsid w:val="0CE11CD3"/>
    <w:rsid w:val="0CF3142D"/>
    <w:rsid w:val="0D6C22D5"/>
    <w:rsid w:val="0DF21109"/>
    <w:rsid w:val="0E415563"/>
    <w:rsid w:val="0E721BC1"/>
    <w:rsid w:val="0FE268D2"/>
    <w:rsid w:val="10196370"/>
    <w:rsid w:val="10321608"/>
    <w:rsid w:val="107000BF"/>
    <w:rsid w:val="11097B8D"/>
    <w:rsid w:val="114333A1"/>
    <w:rsid w:val="121D4444"/>
    <w:rsid w:val="12A35FC9"/>
    <w:rsid w:val="12A85BB1"/>
    <w:rsid w:val="12C56763"/>
    <w:rsid w:val="13895109"/>
    <w:rsid w:val="148239BF"/>
    <w:rsid w:val="14E82BDD"/>
    <w:rsid w:val="14FE762F"/>
    <w:rsid w:val="16943AE7"/>
    <w:rsid w:val="16F16874"/>
    <w:rsid w:val="170830C2"/>
    <w:rsid w:val="176F145F"/>
    <w:rsid w:val="17CC3978"/>
    <w:rsid w:val="180221E9"/>
    <w:rsid w:val="180D6766"/>
    <w:rsid w:val="182B31BE"/>
    <w:rsid w:val="18DE057F"/>
    <w:rsid w:val="1972491D"/>
    <w:rsid w:val="19A07BE5"/>
    <w:rsid w:val="1A293A7B"/>
    <w:rsid w:val="1AED375C"/>
    <w:rsid w:val="1B0B1883"/>
    <w:rsid w:val="1B1A1616"/>
    <w:rsid w:val="1B813EC4"/>
    <w:rsid w:val="1BA02EBA"/>
    <w:rsid w:val="1C00080C"/>
    <w:rsid w:val="1C0B6E16"/>
    <w:rsid w:val="1C484DE7"/>
    <w:rsid w:val="1C694603"/>
    <w:rsid w:val="1C746D6B"/>
    <w:rsid w:val="1D61365F"/>
    <w:rsid w:val="1E1923DB"/>
    <w:rsid w:val="1E3666A3"/>
    <w:rsid w:val="1F9F279E"/>
    <w:rsid w:val="204809D3"/>
    <w:rsid w:val="205C5F0A"/>
    <w:rsid w:val="2135279C"/>
    <w:rsid w:val="216B02BD"/>
    <w:rsid w:val="21D238CC"/>
    <w:rsid w:val="21F506E7"/>
    <w:rsid w:val="227B0BEC"/>
    <w:rsid w:val="228F095F"/>
    <w:rsid w:val="23130E25"/>
    <w:rsid w:val="23701545"/>
    <w:rsid w:val="237A70F6"/>
    <w:rsid w:val="23C353DD"/>
    <w:rsid w:val="242502D3"/>
    <w:rsid w:val="24351427"/>
    <w:rsid w:val="243A0633"/>
    <w:rsid w:val="244558F0"/>
    <w:rsid w:val="25273A56"/>
    <w:rsid w:val="25AE4DDC"/>
    <w:rsid w:val="26181FE5"/>
    <w:rsid w:val="26241C0B"/>
    <w:rsid w:val="2661459D"/>
    <w:rsid w:val="26F176CF"/>
    <w:rsid w:val="274912B9"/>
    <w:rsid w:val="275F3FFD"/>
    <w:rsid w:val="290632F2"/>
    <w:rsid w:val="290862B9"/>
    <w:rsid w:val="298E6298"/>
    <w:rsid w:val="2A6260A2"/>
    <w:rsid w:val="2B041036"/>
    <w:rsid w:val="2B17347C"/>
    <w:rsid w:val="2C414753"/>
    <w:rsid w:val="2DC378EB"/>
    <w:rsid w:val="2E701821"/>
    <w:rsid w:val="2E7D1C16"/>
    <w:rsid w:val="2EBA6F40"/>
    <w:rsid w:val="30F304E8"/>
    <w:rsid w:val="311A5A74"/>
    <w:rsid w:val="315442A9"/>
    <w:rsid w:val="32A970B0"/>
    <w:rsid w:val="32C11146"/>
    <w:rsid w:val="34A33972"/>
    <w:rsid w:val="34CA155F"/>
    <w:rsid w:val="352D221A"/>
    <w:rsid w:val="356B4AF0"/>
    <w:rsid w:val="35B50461"/>
    <w:rsid w:val="36F51149"/>
    <w:rsid w:val="36F6263B"/>
    <w:rsid w:val="37215DAE"/>
    <w:rsid w:val="37CC76E0"/>
    <w:rsid w:val="38B36EDA"/>
    <w:rsid w:val="38B97D23"/>
    <w:rsid w:val="3A1A4D37"/>
    <w:rsid w:val="3C917532"/>
    <w:rsid w:val="3C9B3F0D"/>
    <w:rsid w:val="3D8666B4"/>
    <w:rsid w:val="3DC6077B"/>
    <w:rsid w:val="3EF060B3"/>
    <w:rsid w:val="40061FE5"/>
    <w:rsid w:val="41216F01"/>
    <w:rsid w:val="413B5CBF"/>
    <w:rsid w:val="415C24F6"/>
    <w:rsid w:val="41AF1382"/>
    <w:rsid w:val="43CC6AFF"/>
    <w:rsid w:val="4497485A"/>
    <w:rsid w:val="44F763A1"/>
    <w:rsid w:val="46496788"/>
    <w:rsid w:val="46503FBA"/>
    <w:rsid w:val="483D231C"/>
    <w:rsid w:val="48831CF9"/>
    <w:rsid w:val="48C33676"/>
    <w:rsid w:val="4906144D"/>
    <w:rsid w:val="490A6199"/>
    <w:rsid w:val="49B20AE8"/>
    <w:rsid w:val="49B945B9"/>
    <w:rsid w:val="49FD36FA"/>
    <w:rsid w:val="4A9C4779"/>
    <w:rsid w:val="4B181FCF"/>
    <w:rsid w:val="4B2477C4"/>
    <w:rsid w:val="4BD26816"/>
    <w:rsid w:val="4C431DC5"/>
    <w:rsid w:val="4C681813"/>
    <w:rsid w:val="4DC41787"/>
    <w:rsid w:val="4E023D7D"/>
    <w:rsid w:val="4E591EFB"/>
    <w:rsid w:val="4E6D3B24"/>
    <w:rsid w:val="4E8A37C8"/>
    <w:rsid w:val="4ED050FD"/>
    <w:rsid w:val="4EE554BC"/>
    <w:rsid w:val="4EF12E4F"/>
    <w:rsid w:val="4F092C54"/>
    <w:rsid w:val="508230AB"/>
    <w:rsid w:val="50DE0391"/>
    <w:rsid w:val="516E396E"/>
    <w:rsid w:val="51D13AD5"/>
    <w:rsid w:val="51E101BC"/>
    <w:rsid w:val="522D6F22"/>
    <w:rsid w:val="52854FEC"/>
    <w:rsid w:val="52C93E85"/>
    <w:rsid w:val="53047387"/>
    <w:rsid w:val="53E921F0"/>
    <w:rsid w:val="54442C85"/>
    <w:rsid w:val="548A4B3B"/>
    <w:rsid w:val="555939B1"/>
    <w:rsid w:val="55CC2F32"/>
    <w:rsid w:val="56044479"/>
    <w:rsid w:val="56220D8B"/>
    <w:rsid w:val="56241244"/>
    <w:rsid w:val="56537892"/>
    <w:rsid w:val="566E551E"/>
    <w:rsid w:val="56D63874"/>
    <w:rsid w:val="57F77222"/>
    <w:rsid w:val="581E096D"/>
    <w:rsid w:val="58FA3AE1"/>
    <w:rsid w:val="59A53FC9"/>
    <w:rsid w:val="5A2028EF"/>
    <w:rsid w:val="5A981F54"/>
    <w:rsid w:val="5AD04698"/>
    <w:rsid w:val="5B9444F1"/>
    <w:rsid w:val="5B9B5880"/>
    <w:rsid w:val="5BF44F90"/>
    <w:rsid w:val="5C2A6C04"/>
    <w:rsid w:val="5CF10785"/>
    <w:rsid w:val="5D3A4C25"/>
    <w:rsid w:val="5DCF58DD"/>
    <w:rsid w:val="5E604B5F"/>
    <w:rsid w:val="5EAE3799"/>
    <w:rsid w:val="5F060EBB"/>
    <w:rsid w:val="5F4678B1"/>
    <w:rsid w:val="5F62178D"/>
    <w:rsid w:val="60BD4E6A"/>
    <w:rsid w:val="610C6E82"/>
    <w:rsid w:val="61382CB2"/>
    <w:rsid w:val="616363F5"/>
    <w:rsid w:val="618A333F"/>
    <w:rsid w:val="61BA6334"/>
    <w:rsid w:val="61F25ACE"/>
    <w:rsid w:val="623B13E9"/>
    <w:rsid w:val="62D96943"/>
    <w:rsid w:val="63260125"/>
    <w:rsid w:val="63387E58"/>
    <w:rsid w:val="63457AF8"/>
    <w:rsid w:val="6390559E"/>
    <w:rsid w:val="63D850A8"/>
    <w:rsid w:val="64395C36"/>
    <w:rsid w:val="654301AA"/>
    <w:rsid w:val="654464E1"/>
    <w:rsid w:val="654F6221"/>
    <w:rsid w:val="65842EE1"/>
    <w:rsid w:val="65F242EE"/>
    <w:rsid w:val="65FA1177"/>
    <w:rsid w:val="660B1854"/>
    <w:rsid w:val="66704669"/>
    <w:rsid w:val="67952784"/>
    <w:rsid w:val="6833299C"/>
    <w:rsid w:val="68F44821"/>
    <w:rsid w:val="69156522"/>
    <w:rsid w:val="692046E8"/>
    <w:rsid w:val="69AA77E4"/>
    <w:rsid w:val="6A5E63F6"/>
    <w:rsid w:val="6AC427CE"/>
    <w:rsid w:val="6BC009EB"/>
    <w:rsid w:val="6BC03BF7"/>
    <w:rsid w:val="6C0546FC"/>
    <w:rsid w:val="6C584FB1"/>
    <w:rsid w:val="6CAE084F"/>
    <w:rsid w:val="6DC54E9D"/>
    <w:rsid w:val="6DCF166C"/>
    <w:rsid w:val="6E0B0643"/>
    <w:rsid w:val="6E2B2A93"/>
    <w:rsid w:val="6E4833ED"/>
    <w:rsid w:val="6E6041EB"/>
    <w:rsid w:val="6FA32DC6"/>
    <w:rsid w:val="705A2F94"/>
    <w:rsid w:val="70F63E51"/>
    <w:rsid w:val="70FB2CB1"/>
    <w:rsid w:val="70FD4C12"/>
    <w:rsid w:val="725620A9"/>
    <w:rsid w:val="72D9485C"/>
    <w:rsid w:val="74147B26"/>
    <w:rsid w:val="74324C48"/>
    <w:rsid w:val="762151A7"/>
    <w:rsid w:val="762E4B43"/>
    <w:rsid w:val="76397D18"/>
    <w:rsid w:val="77C52630"/>
    <w:rsid w:val="78280044"/>
    <w:rsid w:val="7883171E"/>
    <w:rsid w:val="78AC657F"/>
    <w:rsid w:val="79273E57"/>
    <w:rsid w:val="7AFD57B8"/>
    <w:rsid w:val="7B2C1BF9"/>
    <w:rsid w:val="7B687129"/>
    <w:rsid w:val="7B8B4B71"/>
    <w:rsid w:val="7B90606E"/>
    <w:rsid w:val="7BCB7664"/>
    <w:rsid w:val="7C66539E"/>
    <w:rsid w:val="7CC429B6"/>
    <w:rsid w:val="7DBF6D54"/>
    <w:rsid w:val="7E6B7EE1"/>
    <w:rsid w:val="7E950D42"/>
    <w:rsid w:val="7EB42631"/>
    <w:rsid w:val="7EBD2A1A"/>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r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Body Text Indent"/>
    <w:basedOn w:val="1"/>
    <w:next w:val="1"/>
    <w:autoRedefine/>
    <w:unhideWhenUsed/>
    <w:qFormat/>
    <w:uiPriority w:val="0"/>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4"/>
    <w:next w:val="1"/>
    <w:autoRedefine/>
    <w:unhideWhenUsed/>
    <w:qFormat/>
    <w:uiPriority w:val="0"/>
    <w:pPr>
      <w:ind w:firstLine="420" w:firstLineChars="200"/>
    </w:p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character" w:customStyle="1" w:styleId="12">
    <w:name w:val="NormalCharacter"/>
    <w:autoRedefine/>
    <w:semiHidden/>
    <w:qFormat/>
    <w:uiPriority w:val="0"/>
    <w:rPr>
      <w:rFonts w:ascii="Calibri" w:hAnsi="Calibri"/>
      <w:kern w:val="2"/>
      <w:sz w:val="21"/>
      <w:szCs w:val="24"/>
      <w:lang w:val="en-US" w:eastAsia="zh-CN" w:bidi="ar-SA"/>
    </w:rPr>
  </w:style>
  <w:style w:type="paragraph" w:customStyle="1" w:styleId="13">
    <w:name w:val="UserStyle_2"/>
    <w:basedOn w:val="1"/>
    <w:autoRedefine/>
    <w:qFormat/>
    <w:uiPriority w:val="0"/>
    <w:pPr>
      <w:widowControl/>
      <w:spacing w:after="120"/>
      <w:ind w:left="420" w:leftChars="200" w:firstLine="420" w:firstLineChars="200"/>
      <w:textAlignment w:val="baseline"/>
    </w:pPr>
  </w:style>
  <w:style w:type="character" w:customStyle="1" w:styleId="14">
    <w:name w:val="font51"/>
    <w:basedOn w:val="10"/>
    <w:autoRedefine/>
    <w:qFormat/>
    <w:uiPriority w:val="0"/>
    <w:rPr>
      <w:rFonts w:ascii="黑体" w:hAnsi="宋体" w:eastAsia="黑体" w:cs="黑体"/>
      <w:color w:val="000000"/>
      <w:sz w:val="24"/>
      <w:szCs w:val="24"/>
      <w:u w:val="none"/>
    </w:rPr>
  </w:style>
  <w:style w:type="character" w:customStyle="1" w:styleId="15">
    <w:name w:val="font41"/>
    <w:basedOn w:val="10"/>
    <w:autoRedefine/>
    <w:qFormat/>
    <w:uiPriority w:val="0"/>
    <w:rPr>
      <w:rFonts w:hint="eastAsia" w:ascii="黑体" w:hAnsi="宋体" w:eastAsia="黑体" w:cs="黑体"/>
      <w:color w:val="000000"/>
      <w:sz w:val="24"/>
      <w:szCs w:val="24"/>
      <w:u w:val="none"/>
    </w:rPr>
  </w:style>
  <w:style w:type="character" w:customStyle="1" w:styleId="16">
    <w:name w:val="font61"/>
    <w:basedOn w:val="10"/>
    <w:autoRedefine/>
    <w:qFormat/>
    <w:uiPriority w:val="0"/>
    <w:rPr>
      <w:rFonts w:ascii="仿宋_GB2312" w:eastAsia="仿宋_GB2312" w:cs="仿宋_GB2312"/>
      <w:color w:val="000000"/>
      <w:sz w:val="24"/>
      <w:szCs w:val="24"/>
      <w:u w:val="none"/>
    </w:rPr>
  </w:style>
  <w:style w:type="character" w:customStyle="1" w:styleId="17">
    <w:name w:val="font71"/>
    <w:basedOn w:val="10"/>
    <w:autoRedefine/>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14797</Words>
  <Characters>15720</Characters>
  <Lines>79</Lines>
  <Paragraphs>22</Paragraphs>
  <TotalTime>31</TotalTime>
  <ScaleCrop>false</ScaleCrop>
  <LinksUpToDate>false</LinksUpToDate>
  <CharactersWithSpaces>15786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2022-02-22T07:42:00Z</dcterms:created>
  <dc:creator>Administrator</dc:creator>
  <cp:lastModifiedBy>木易</cp:lastModifiedBy>
  <dcterms:modified xsi:type="dcterms:W3CDTF">2023-12-29T02:02:46Z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D3201E3F176442438AC7D516FDC605E3_13</vt:lpwstr>
  </property>
</Properties>
</file>