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等线" w:hAnsi="等线" w:eastAsia="等线" w:cs="方正小标宋简体"/>
          <w:b/>
          <w:sz w:val="38"/>
        </w:rPr>
      </w:pPr>
    </w:p>
    <w:p>
      <w:pPr>
        <w:pStyle w:val="4"/>
        <w:bidi w:val="0"/>
        <w:rPr>
          <w:rFonts w:hint="eastAsia"/>
          <w:sz w:val="52"/>
          <w:szCs w:val="52"/>
          <w:lang w:eastAsia="zh-CN"/>
        </w:rPr>
      </w:pPr>
      <w:r>
        <w:rPr>
          <w:rFonts w:hint="eastAsia"/>
          <w:sz w:val="52"/>
          <w:szCs w:val="52"/>
          <w:lang w:eastAsia="zh-CN"/>
        </w:rPr>
        <w:t>西昌民族幼儿师范高等专科学校</w:t>
      </w:r>
    </w:p>
    <w:p>
      <w:pPr>
        <w:pStyle w:val="4"/>
        <w:bidi w:val="0"/>
        <w:rPr>
          <w:rFonts w:hint="eastAsia"/>
          <w:sz w:val="52"/>
          <w:szCs w:val="52"/>
          <w:lang w:eastAsia="zh-CN"/>
        </w:rPr>
      </w:pPr>
      <w:r>
        <w:rPr>
          <w:rFonts w:hint="eastAsia"/>
          <w:sz w:val="52"/>
          <w:szCs w:val="52"/>
          <w:lang w:eastAsia="zh-CN"/>
        </w:rPr>
        <w:t>“一站式”学生事务中心</w:t>
      </w:r>
      <w:r>
        <w:rPr>
          <w:rFonts w:hint="eastAsia"/>
          <w:sz w:val="52"/>
          <w:szCs w:val="52"/>
          <w:lang w:val="en-US" w:eastAsia="zh-CN"/>
        </w:rPr>
        <w:t>采购</w:t>
      </w:r>
      <w:r>
        <w:rPr>
          <w:rFonts w:hint="eastAsia"/>
          <w:sz w:val="52"/>
          <w:szCs w:val="52"/>
          <w:lang w:eastAsia="zh-CN"/>
        </w:rPr>
        <w:t>项目</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2"/>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12</w:t>
      </w:r>
      <w:r>
        <w:rPr>
          <w:rFonts w:ascii="华文中宋" w:hAnsi="华文中宋" w:eastAsia="华文中宋"/>
          <w:bCs/>
          <w:sz w:val="30"/>
          <w:szCs w:val="30"/>
          <w:lang w:val="zh-CN"/>
        </w:rPr>
        <w:t>月</w:t>
      </w:r>
    </w:p>
    <w:p>
      <w:pPr>
        <w:pStyle w:val="2"/>
        <w:rPr>
          <w:rFonts w:hint="eastAsia"/>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2"/>
        <w:spacing w:line="360" w:lineRule="auto"/>
        <w:rPr>
          <w:rFonts w:hint="eastAsia" w:ascii="宋体" w:hAnsi="宋体"/>
        </w:rPr>
      </w:pPr>
    </w:p>
    <w:p>
      <w:pPr>
        <w:pStyle w:val="1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5"/>
          <w:sz w:val="28"/>
          <w:szCs w:val="28"/>
        </w:rPr>
        <w:instrText xml:space="preserve"> </w:instrText>
      </w:r>
      <w:r>
        <w:rPr>
          <w:sz w:val="28"/>
          <w:szCs w:val="28"/>
        </w:rPr>
        <w:instrText xml:space="preserve">HYPERLINK \l "_Toc60142196"</w:instrText>
      </w:r>
      <w:r>
        <w:rPr>
          <w:rStyle w:val="15"/>
          <w:sz w:val="28"/>
          <w:szCs w:val="28"/>
        </w:rPr>
        <w:instrText xml:space="preserve"> </w:instrText>
      </w:r>
      <w:r>
        <w:rPr>
          <w:sz w:val="28"/>
          <w:szCs w:val="28"/>
        </w:rPr>
        <w:fldChar w:fldCharType="separate"/>
      </w:r>
      <w:r>
        <w:rPr>
          <w:rStyle w:val="15"/>
          <w:sz w:val="28"/>
          <w:szCs w:val="28"/>
        </w:rPr>
        <w:t xml:space="preserve">第一章 </w:t>
      </w:r>
      <w:r>
        <w:rPr>
          <w:rStyle w:val="15"/>
          <w:rFonts w:hint="eastAsia"/>
          <w:sz w:val="28"/>
          <w:szCs w:val="28"/>
          <w:lang w:eastAsia="zh-CN"/>
        </w:rPr>
        <w:t>询价</w:t>
      </w:r>
      <w:r>
        <w:rPr>
          <w:rStyle w:val="15"/>
          <w:rFonts w:hint="eastAsia"/>
          <w:sz w:val="28"/>
          <w:szCs w:val="28"/>
        </w:rPr>
        <w:t>邀请</w:t>
      </w:r>
      <w:r>
        <w:rPr>
          <w:sz w:val="28"/>
          <w:szCs w:val="28"/>
        </w:rPr>
        <w:tab/>
      </w:r>
      <w:r>
        <w:rPr>
          <w:rFonts w:hint="eastAsia"/>
          <w:sz w:val="28"/>
          <w:szCs w:val="28"/>
          <w:lang w:val="en-US" w:eastAsia="zh-CN"/>
        </w:rPr>
        <w:t>1</w:t>
      </w:r>
      <w:r>
        <w:rPr>
          <w:sz w:val="28"/>
          <w:szCs w:val="28"/>
        </w:rPr>
        <w:fldChar w:fldCharType="end"/>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"_Toc60142197"</w:instrText>
      </w:r>
      <w:r>
        <w:rPr>
          <w:rStyle w:val="15"/>
          <w:sz w:val="28"/>
          <w:szCs w:val="28"/>
        </w:rPr>
        <w:instrText xml:space="preserve"> </w:instrText>
      </w:r>
      <w:r>
        <w:rPr>
          <w:sz w:val="28"/>
          <w:szCs w:val="28"/>
        </w:rPr>
        <w:fldChar w:fldCharType="separate"/>
      </w:r>
      <w:r>
        <w:rPr>
          <w:rStyle w:val="15"/>
          <w:sz w:val="28"/>
          <w:szCs w:val="28"/>
        </w:rPr>
        <w:t xml:space="preserve">第二章 </w:t>
      </w:r>
      <w:r>
        <w:rPr>
          <w:rStyle w:val="15"/>
          <w:rFonts w:hint="eastAsia"/>
          <w:sz w:val="28"/>
          <w:szCs w:val="28"/>
          <w:lang w:eastAsia="zh-CN"/>
        </w:rPr>
        <w:t>询价</w:t>
      </w:r>
      <w:r>
        <w:rPr>
          <w:rStyle w:val="15"/>
          <w:sz w:val="28"/>
          <w:szCs w:val="28"/>
        </w:rPr>
        <w:t>须知</w:t>
      </w:r>
      <w:r>
        <w:rPr>
          <w:sz w:val="28"/>
          <w:szCs w:val="28"/>
        </w:rPr>
        <w:tab/>
      </w:r>
      <w:r>
        <w:rPr>
          <w:sz w:val="28"/>
          <w:szCs w:val="28"/>
        </w:rPr>
        <w:fldChar w:fldCharType="end"/>
      </w:r>
      <w:r>
        <w:rPr>
          <w:rFonts w:hint="eastAsia"/>
          <w:sz w:val="28"/>
          <w:szCs w:val="28"/>
          <w:lang w:val="en-US" w:eastAsia="zh-CN"/>
        </w:rPr>
        <w:t>4</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"_Toc60142198"</w:instrText>
      </w:r>
      <w:r>
        <w:rPr>
          <w:rStyle w:val="15"/>
          <w:sz w:val="28"/>
          <w:szCs w:val="28"/>
        </w:rPr>
        <w:instrText xml:space="preserve"> </w:instrText>
      </w:r>
      <w:r>
        <w:rPr>
          <w:sz w:val="28"/>
          <w:szCs w:val="28"/>
        </w:rPr>
        <w:fldChar w:fldCharType="separate"/>
      </w:r>
      <w:r>
        <w:rPr>
          <w:rStyle w:val="15"/>
          <w:sz w:val="28"/>
          <w:szCs w:val="28"/>
        </w:rPr>
        <w:t>第三章 评选程序</w:t>
      </w:r>
      <w:r>
        <w:rPr>
          <w:sz w:val="28"/>
          <w:szCs w:val="28"/>
        </w:rPr>
        <w:tab/>
      </w:r>
      <w:r>
        <w:rPr>
          <w:sz w:val="28"/>
          <w:szCs w:val="28"/>
        </w:rPr>
        <w:fldChar w:fldCharType="end"/>
      </w:r>
      <w:r>
        <w:rPr>
          <w:rFonts w:hint="eastAsia"/>
          <w:sz w:val="28"/>
          <w:szCs w:val="28"/>
          <w:lang w:val="en-US" w:eastAsia="zh-CN"/>
        </w:rPr>
        <w:t>5</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"_Toc60142199"</w:instrText>
      </w:r>
      <w:r>
        <w:rPr>
          <w:rStyle w:val="15"/>
          <w:sz w:val="28"/>
          <w:szCs w:val="28"/>
        </w:rPr>
        <w:instrText xml:space="preserve"> </w:instrText>
      </w:r>
      <w:r>
        <w:rPr>
          <w:sz w:val="28"/>
          <w:szCs w:val="28"/>
        </w:rPr>
        <w:fldChar w:fldCharType="separate"/>
      </w:r>
      <w:r>
        <w:rPr>
          <w:rStyle w:val="15"/>
          <w:sz w:val="28"/>
          <w:szCs w:val="28"/>
        </w:rPr>
        <w:t>第四章 供应商资格条件要求</w:t>
      </w:r>
      <w:r>
        <w:rPr>
          <w:sz w:val="28"/>
          <w:szCs w:val="28"/>
        </w:rPr>
        <w:tab/>
      </w:r>
      <w:r>
        <w:rPr>
          <w:sz w:val="28"/>
          <w:szCs w:val="28"/>
        </w:rPr>
        <w:fldChar w:fldCharType="end"/>
      </w:r>
      <w:r>
        <w:rPr>
          <w:rFonts w:hint="eastAsia"/>
          <w:sz w:val="28"/>
          <w:szCs w:val="28"/>
          <w:lang w:val="en-US" w:eastAsia="zh-CN"/>
        </w:rPr>
        <w:t>6</w:t>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"_Toc60142200"</w:instrText>
      </w:r>
      <w:r>
        <w:rPr>
          <w:rStyle w:val="15"/>
          <w:sz w:val="28"/>
          <w:szCs w:val="28"/>
        </w:rPr>
        <w:instrText xml:space="preserve"> </w:instrText>
      </w:r>
      <w:r>
        <w:rPr>
          <w:sz w:val="28"/>
          <w:szCs w:val="28"/>
        </w:rPr>
        <w:fldChar w:fldCharType="separate"/>
      </w:r>
      <w:r>
        <w:rPr>
          <w:rStyle w:val="15"/>
          <w:rFonts w:ascii="宋体" w:hAnsi="宋体"/>
          <w:sz w:val="28"/>
          <w:szCs w:val="28"/>
        </w:rPr>
        <w:t>第</w:t>
      </w:r>
      <w:r>
        <w:rPr>
          <w:rStyle w:val="15"/>
          <w:rFonts w:hint="eastAsia" w:ascii="宋体" w:hAnsi="宋体"/>
          <w:sz w:val="28"/>
          <w:szCs w:val="28"/>
        </w:rPr>
        <w:t>五</w:t>
      </w:r>
      <w:r>
        <w:rPr>
          <w:rStyle w:val="15"/>
          <w:rFonts w:ascii="宋体" w:hAnsi="宋体"/>
          <w:sz w:val="28"/>
          <w:szCs w:val="28"/>
        </w:rPr>
        <w:t>章 供应商资格证明材料</w:t>
      </w:r>
      <w:r>
        <w:rPr>
          <w:sz w:val="28"/>
          <w:szCs w:val="28"/>
        </w:rPr>
        <w:tab/>
      </w:r>
      <w:r>
        <w:rPr>
          <w:rFonts w:hint="eastAsia"/>
          <w:sz w:val="28"/>
          <w:szCs w:val="28"/>
          <w:lang w:val="en-US" w:eastAsia="zh-CN"/>
        </w:rPr>
        <w:t>7</w:t>
      </w:r>
      <w:r>
        <w:rPr>
          <w:sz w:val="28"/>
          <w:szCs w:val="28"/>
        </w:rPr>
        <w:fldChar w:fldCharType="end"/>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"_Toc60142201"</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六</w:t>
      </w:r>
      <w:r>
        <w:rPr>
          <w:rStyle w:val="15"/>
          <w:sz w:val="28"/>
          <w:szCs w:val="28"/>
        </w:rPr>
        <w:t>章 响应文件格式</w:t>
      </w:r>
      <w:r>
        <w:rPr>
          <w:sz w:val="28"/>
          <w:szCs w:val="28"/>
        </w:rPr>
        <w:tab/>
      </w:r>
      <w:r>
        <w:rPr>
          <w:rFonts w:hint="eastAsia"/>
          <w:sz w:val="28"/>
          <w:szCs w:val="28"/>
          <w:lang w:val="en-US" w:eastAsia="zh-CN"/>
        </w:rPr>
        <w:t>8</w:t>
      </w:r>
      <w:r>
        <w:rPr>
          <w:sz w:val="28"/>
          <w:szCs w:val="28"/>
        </w:rPr>
        <w:fldChar w:fldCharType="end"/>
      </w:r>
    </w:p>
    <w:p>
      <w:pPr>
        <w:pStyle w:val="11"/>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"_Toc60142204"</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七</w:t>
      </w:r>
      <w:r>
        <w:rPr>
          <w:rStyle w:val="15"/>
          <w:sz w:val="28"/>
          <w:szCs w:val="28"/>
        </w:rPr>
        <w:t xml:space="preserve">章 </w:t>
      </w:r>
      <w:r>
        <w:rPr>
          <w:rStyle w:val="15"/>
          <w:rFonts w:hint="eastAsia"/>
          <w:sz w:val="28"/>
          <w:szCs w:val="28"/>
          <w:lang w:eastAsia="zh-CN"/>
        </w:rPr>
        <w:t>询价</w:t>
      </w:r>
      <w:r>
        <w:rPr>
          <w:rStyle w:val="15"/>
          <w:rFonts w:hint="eastAsia"/>
          <w:sz w:val="28"/>
          <w:szCs w:val="28"/>
          <w:lang w:val="en-US" w:eastAsia="zh-CN"/>
        </w:rPr>
        <w:t>响应文件</w:t>
      </w:r>
      <w:r>
        <w:rPr>
          <w:sz w:val="28"/>
          <w:szCs w:val="28"/>
        </w:rPr>
        <w:tab/>
      </w:r>
      <w:r>
        <w:rPr>
          <w:sz w:val="28"/>
          <w:szCs w:val="28"/>
        </w:rPr>
        <w:fldChar w:fldCharType="end"/>
      </w:r>
      <w:r>
        <w:rPr>
          <w:rFonts w:hint="eastAsia"/>
          <w:sz w:val="28"/>
          <w:szCs w:val="28"/>
          <w:lang w:val="en-US" w:eastAsia="zh-CN"/>
        </w:rPr>
        <w:t>9</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4"/>
        <w:rPr>
          <w:rFonts w:hint="eastAsia"/>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15979"/>
      <w:bookmarkStart w:id="1" w:name="_Toc12898"/>
      <w:bookmarkStart w:id="2" w:name="_Toc60142196"/>
    </w:p>
    <w:p>
      <w:pPr>
        <w:pStyle w:val="4"/>
        <w:rPr>
          <w:rFonts w:hint="eastAsia"/>
        </w:rPr>
      </w:pPr>
      <w:r>
        <w:rPr>
          <w:rFonts w:hint="eastAsia"/>
        </w:rPr>
        <w:t xml:space="preserve">第一章 </w:t>
      </w:r>
      <w:bookmarkEnd w:id="0"/>
      <w:bookmarkEnd w:id="1"/>
      <w:r>
        <w:rPr>
          <w:rFonts w:hint="eastAsia"/>
          <w:lang w:eastAsia="zh-CN"/>
        </w:rPr>
        <w:t>询价</w:t>
      </w:r>
      <w:r>
        <w:rPr>
          <w:rFonts w:hint="eastAsia"/>
        </w:rPr>
        <w:t>邀请</w:t>
      </w:r>
      <w:bookmarkEnd w:id="2"/>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eastAsia="zh-CN"/>
        </w:rPr>
        <w:t>“一站式”学生事务中心</w:t>
      </w:r>
      <w:r>
        <w:rPr>
          <w:rFonts w:hint="eastAsia" w:ascii="宋体" w:hAnsi="宋体" w:cs="宋体"/>
          <w:color w:val="auto"/>
          <w:sz w:val="24"/>
          <w:lang w:val="en-US" w:eastAsia="zh-CN"/>
        </w:rPr>
        <w:t>采购</w:t>
      </w:r>
      <w:r>
        <w:rPr>
          <w:rFonts w:hint="eastAsia" w:ascii="宋体" w:hAnsi="宋体" w:cs="宋体"/>
          <w:color w:val="auto"/>
          <w:sz w:val="24"/>
          <w:lang w:eastAsia="zh-CN"/>
        </w:rPr>
        <w:t>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bookmarkStart w:id="55" w:name="_GoBack"/>
      <w:bookmarkEnd w:id="55"/>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31208</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宋体"/>
          <w:color w:val="auto"/>
          <w:sz w:val="24"/>
        </w:rPr>
        <w:t>西昌民族幼儿师范高等专科学校</w:t>
      </w:r>
      <w:r>
        <w:rPr>
          <w:rFonts w:hint="eastAsia" w:ascii="宋体" w:hAnsi="宋体" w:cs="宋体"/>
          <w:color w:val="auto"/>
          <w:sz w:val="24"/>
          <w:lang w:eastAsia="zh-CN"/>
        </w:rPr>
        <w:t>“一站式”学生事务中心</w:t>
      </w:r>
      <w:r>
        <w:rPr>
          <w:rFonts w:hint="eastAsia" w:ascii="宋体" w:hAnsi="宋体" w:cs="宋体"/>
          <w:color w:val="auto"/>
          <w:sz w:val="24"/>
          <w:lang w:val="en-US" w:eastAsia="zh-CN"/>
        </w:rPr>
        <w:t>采购</w:t>
      </w:r>
      <w:r>
        <w:rPr>
          <w:rFonts w:hint="eastAsia" w:ascii="宋体" w:hAnsi="宋体" w:cs="宋体"/>
          <w:color w:val="auto"/>
          <w:sz w:val="24"/>
          <w:lang w:eastAsia="zh-CN"/>
        </w:rPr>
        <w:t>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176000.00</w:t>
      </w:r>
      <w:r>
        <w:rPr>
          <w:rFonts w:hint="eastAsia" w:ascii="Arial" w:hAnsi="Arial" w:cs="仿宋"/>
          <w:bCs/>
          <w:color w:val="auto"/>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详见附件</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rFonts w:hint="eastAsia" w:ascii="宋体" w:hAnsi="宋体" w:cs="宋体"/>
          <w:color w:val="auto"/>
          <w:kern w:val="0"/>
          <w:sz w:val="24"/>
          <w:lang w:bidi="ar"/>
        </w:rPr>
      </w:pPr>
      <w:r>
        <w:rPr>
          <w:rFonts w:hint="eastAsia" w:ascii="Arial" w:hAnsi="Arial" w:cs="仿宋"/>
          <w:color w:val="auto"/>
          <w:kern w:val="0"/>
          <w:sz w:val="24"/>
        </w:rPr>
        <w:t>2、预算控制价金额</w:t>
      </w:r>
      <w:r>
        <w:rPr>
          <w:rFonts w:hint="eastAsia" w:ascii="Arial" w:hAnsi="Arial" w:cs="仿宋"/>
          <w:color w:val="auto"/>
          <w:kern w:val="0"/>
          <w:sz w:val="24"/>
          <w:lang w:val="en-US" w:eastAsia="zh-CN"/>
        </w:rPr>
        <w:t>176000.00</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auto"/>
          <w:kern w:val="0"/>
          <w:sz w:val="24"/>
          <w:lang w:val="en-US" w:eastAsia="zh-CN"/>
        </w:rPr>
        <w:t>货物必须满足招标技术要求，包括但不限于技术要求</w:t>
      </w:r>
      <w:r>
        <w:rPr>
          <w:rFonts w:hint="eastAsia" w:ascii="Arial" w:hAnsi="Arial" w:eastAsia="宋体" w:cs="仿宋"/>
          <w:color w:val="auto"/>
          <w:kern w:val="0"/>
          <w:sz w:val="24"/>
          <w:lang w:eastAsia="zh-CN"/>
        </w:rPr>
        <w:t xml:space="preserve">（供应商须提供承诺函原件并加盖鲜章）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FF0000"/>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投标文件及投标人承诺的质量、技术和其他要求，符合国家相关的质量标准和出厂标准。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eastAsia="zh-CN"/>
        </w:rPr>
        <w:t>合同签订生效后</w:t>
      </w:r>
      <w:r>
        <w:rPr>
          <w:rFonts w:hint="eastAsia" w:ascii="Arial" w:hAnsi="Arial" w:cs="仿宋"/>
          <w:color w:val="auto"/>
          <w:kern w:val="0"/>
          <w:sz w:val="24"/>
          <w:lang w:val="en-US" w:eastAsia="zh-CN"/>
        </w:rPr>
        <w:t>30日内</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w:t>
      </w:r>
      <w:r>
        <w:rPr>
          <w:rFonts w:hint="eastAsia" w:ascii="Arial" w:hAnsi="Arial" w:cs="仿宋"/>
          <w:color w:val="auto"/>
          <w:kern w:val="0"/>
          <w:sz w:val="24"/>
          <w:lang w:eastAsia="zh-CN"/>
        </w:rPr>
        <w:t>交货</w:t>
      </w:r>
      <w:r>
        <w:rPr>
          <w:rFonts w:hint="eastAsia" w:ascii="Arial" w:hAnsi="Arial" w:cs="仿宋"/>
          <w:color w:val="auto"/>
          <w:kern w:val="0"/>
          <w:sz w:val="24"/>
        </w:rPr>
        <w:t>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w:t>
      </w:r>
      <w:r>
        <w:rPr>
          <w:rFonts w:hint="eastAsia" w:ascii="Arial" w:hAnsi="Arial" w:cs="仿宋"/>
          <w:color w:val="auto"/>
          <w:kern w:val="0"/>
          <w:sz w:val="24"/>
          <w:lang w:val="en-US" w:eastAsia="zh-CN"/>
        </w:rPr>
        <w:t>合同签订后成交单位向采购人支付合同金额的5%作为履约保证金，项目验收完成后转为质保金，</w:t>
      </w:r>
      <w:r>
        <w:rPr>
          <w:rFonts w:hint="eastAsia" w:ascii="Arial" w:hAnsi="Arial" w:cs="仿宋"/>
          <w:color w:val="auto"/>
          <w:kern w:val="0"/>
          <w:sz w:val="24"/>
        </w:rPr>
        <w:t>缺陷责任期</w:t>
      </w:r>
      <w:r>
        <w:rPr>
          <w:rFonts w:hint="eastAsia" w:ascii="Arial" w:hAnsi="Arial" w:cs="仿宋"/>
          <w:color w:val="auto"/>
          <w:kern w:val="0"/>
          <w:sz w:val="24"/>
          <w:lang w:eastAsia="zh-CN"/>
        </w:rPr>
        <w:t>满后，一次性无息付清；</w:t>
      </w:r>
      <w:r>
        <w:rPr>
          <w:rFonts w:hint="eastAsia" w:ascii="Arial" w:hAnsi="Arial" w:cs="仿宋"/>
          <w:color w:val="auto"/>
          <w:kern w:val="0"/>
          <w:sz w:val="24"/>
          <w:lang w:val="en-US" w:eastAsia="zh-CN"/>
        </w:rPr>
        <w:t>项目单位进场后，拨付合同总价的40%；项目经采购人验收合格，满足本合同支付合同价款条件后，拨付剩余合同总价的60%。</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11</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13</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15</w:t>
      </w:r>
      <w:r>
        <w:rPr>
          <w:rFonts w:hint="eastAsia" w:ascii="宋体" w:hAnsi="宋体"/>
          <w:bCs/>
          <w:color w:val="auto"/>
          <w:sz w:val="24"/>
        </w:rPr>
        <w:t>日</w:t>
      </w:r>
      <w:r>
        <w:rPr>
          <w:rFonts w:hint="eastAsia" w:ascii="宋体" w:hAnsi="宋体"/>
          <w:bCs/>
          <w:color w:val="auto"/>
          <w:sz w:val="24"/>
          <w:lang w:val="en-US" w:eastAsia="zh-CN"/>
        </w:rPr>
        <w:t>15</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15</w:t>
      </w:r>
      <w:r>
        <w:rPr>
          <w:rFonts w:hint="eastAsia" w:ascii="宋体" w:hAnsi="宋体"/>
          <w:bCs/>
          <w:color w:val="auto"/>
          <w:sz w:val="24"/>
        </w:rPr>
        <w:t>日1</w:t>
      </w:r>
      <w:r>
        <w:rPr>
          <w:rFonts w:hint="eastAsia" w:ascii="宋体" w:hAnsi="宋体"/>
          <w:bCs/>
          <w:color w:val="auto"/>
          <w:sz w:val="24"/>
          <w:lang w:val="en-US" w:eastAsia="zh-CN"/>
        </w:rPr>
        <w:t>5</w:t>
      </w:r>
      <w:r>
        <w:rPr>
          <w:rFonts w:hint="eastAsia" w:ascii="宋体" w:hAnsi="宋体"/>
          <w:bCs/>
          <w:color w:val="auto"/>
          <w:sz w:val="24"/>
        </w:rPr>
        <w:t>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17"/>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4"/>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7"/>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7"/>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7"/>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396759"/>
      <w:bookmarkStart w:id="4" w:name="_Toc213396945"/>
      <w:bookmarkStart w:id="5" w:name="_Toc213496267"/>
      <w:bookmarkStart w:id="6" w:name="_Toc508697732"/>
      <w:bookmarkStart w:id="7" w:name="_Toc508697771"/>
      <w:bookmarkStart w:id="8" w:name="_Toc213397009"/>
      <w:bookmarkStart w:id="9" w:name="_Toc217446031"/>
    </w:p>
    <w:p>
      <w:pPr>
        <w:pStyle w:val="17"/>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12</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60142197"/>
      <w:bookmarkStart w:id="11" w:name="_Toc515536911"/>
      <w:bookmarkStart w:id="12" w:name="_Toc27398"/>
      <w:bookmarkStart w:id="13" w:name="_Toc12168"/>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10953"/>
      <w:bookmarkStart w:id="16" w:name="_Toc515536912"/>
      <w:bookmarkStart w:id="17" w:name="_Toc89075878"/>
      <w:bookmarkStart w:id="18" w:name="_Toc183582231"/>
      <w:bookmarkStart w:id="19" w:name="_Toc183682368"/>
      <w:bookmarkStart w:id="20" w:name="_Toc77400782"/>
      <w:bookmarkStart w:id="21" w:name="_Toc217446056"/>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4"/>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4"/>
        <w:spacing w:line="276" w:lineRule="auto"/>
        <w:rPr>
          <w:color w:val="auto"/>
        </w:rPr>
      </w:pPr>
    </w:p>
    <w:p>
      <w:pPr>
        <w:pStyle w:val="4"/>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515536913"/>
      <w:bookmarkStart w:id="25" w:name="_Toc60142200"/>
      <w:bookmarkStart w:id="26" w:name="_Toc4504"/>
      <w:bookmarkStart w:id="27" w:name="_Toc6181"/>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2"/>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2"/>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4"/>
        <w:rPr>
          <w:rFonts w:hint="eastAsia"/>
          <w:color w:val="auto"/>
        </w:rPr>
      </w:pPr>
      <w:r>
        <w:rPr>
          <w:color w:val="auto"/>
          <w:sz w:val="32"/>
          <w:szCs w:val="32"/>
        </w:rPr>
        <w:br w:type="page"/>
      </w:r>
      <w:bookmarkStart w:id="28" w:name="_Toc515536914"/>
      <w:bookmarkStart w:id="29" w:name="_Toc355"/>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515536917"/>
      <w:bookmarkStart w:id="33" w:name="_Toc16063"/>
      <w:bookmarkStart w:id="34" w:name="_Toc19941"/>
      <w:bookmarkStart w:id="35" w:name="_Toc183682369"/>
      <w:bookmarkStart w:id="36" w:name="_Toc217446057"/>
      <w:bookmarkStart w:id="37" w:name="_Toc183582232"/>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一、本章所制响应文件格式，除格式中明确将该格式作为实质性要求的，一律不具有强制性</w:t>
      </w:r>
      <w:r>
        <w:rPr>
          <w:rFonts w:hint="eastAsia" w:ascii="宋体" w:hAnsi="宋体"/>
          <w:color w:val="auto"/>
          <w:sz w:val="24"/>
          <w:lang w:eastAsia="zh-CN"/>
        </w:rPr>
        <w:t>。</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2"/>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2"/>
        <w:spacing w:line="360" w:lineRule="auto"/>
        <w:rPr>
          <w:color w:val="auto"/>
        </w:rPr>
      </w:pPr>
      <w:r>
        <w:rPr>
          <w:color w:val="auto"/>
        </w:rPr>
        <w:br w:type="page"/>
      </w:r>
    </w:p>
    <w:p>
      <w:pPr>
        <w:pStyle w:val="4"/>
        <w:bidi w:val="0"/>
        <w:rPr>
          <w:rFonts w:hint="eastAsia"/>
          <w:sz w:val="52"/>
          <w:szCs w:val="52"/>
          <w:lang w:eastAsia="zh-CN"/>
        </w:rPr>
      </w:pPr>
      <w:r>
        <w:rPr>
          <w:rFonts w:hint="eastAsia"/>
          <w:sz w:val="52"/>
          <w:szCs w:val="52"/>
          <w:lang w:eastAsia="zh-CN"/>
        </w:rPr>
        <w:t>西昌民族幼儿师范高等专科学校</w:t>
      </w:r>
    </w:p>
    <w:p>
      <w:pPr>
        <w:pStyle w:val="2"/>
        <w:rPr>
          <w:rFonts w:hint="eastAsia" w:ascii="Times New Roman" w:hAnsi="Times New Roman" w:eastAsia="宋体" w:cs="Times New Roman"/>
          <w:b/>
          <w:bCs/>
          <w:kern w:val="44"/>
          <w:sz w:val="52"/>
          <w:szCs w:val="52"/>
          <w:lang w:val="en-US" w:eastAsia="zh-CN" w:bidi="ar-SA"/>
        </w:rPr>
      </w:pPr>
      <w:r>
        <w:rPr>
          <w:rFonts w:hint="eastAsia" w:ascii="Times New Roman" w:hAnsi="Times New Roman" w:eastAsia="宋体" w:cs="Times New Roman"/>
          <w:b/>
          <w:bCs/>
          <w:kern w:val="44"/>
          <w:sz w:val="52"/>
          <w:szCs w:val="52"/>
          <w:lang w:val="en-US" w:eastAsia="zh-CN" w:bidi="ar-SA"/>
        </w:rPr>
        <w:t>“一站式”学生事务中心采购项目</w:t>
      </w:r>
    </w:p>
    <w:p>
      <w:pPr>
        <w:pStyle w:val="2"/>
        <w:rPr>
          <w:rFonts w:hint="eastAsia"/>
          <w:color w:val="auto"/>
        </w:rPr>
      </w:pPr>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2"/>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2"/>
        <w:spacing w:line="360" w:lineRule="auto"/>
        <w:rPr>
          <w:rFonts w:hint="eastAsia"/>
          <w:color w:val="auto"/>
        </w:rPr>
      </w:pPr>
    </w:p>
    <w:p>
      <w:pPr>
        <w:pStyle w:val="2"/>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2"/>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2"/>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2"/>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2"/>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2"/>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24553"/>
      <w:bookmarkStart w:id="51" w:name="_Toc519155926"/>
      <w:bookmarkStart w:id="52" w:name="_Toc496797232"/>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2"/>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8"/>
        <w:ind w:firstLine="420" w:firstLineChars="200"/>
        <w:rPr>
          <w:rFonts w:ascii="仿宋_GB2312" w:hAnsi="仿宋" w:eastAsia="仿宋_GB2312" w:cs="仿宋"/>
          <w:color w:val="auto"/>
          <w:sz w:val="21"/>
          <w:szCs w:val="21"/>
        </w:rPr>
      </w:pPr>
    </w:p>
    <w:p>
      <w:pPr>
        <w:pStyle w:val="18"/>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5"/>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7"/>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2"/>
        <w:rPr>
          <w:rFonts w:hint="eastAsia" w:ascii="仿宋_GB2312" w:eastAsia="仿宋_GB2312"/>
          <w:color w:val="auto"/>
          <w:sz w:val="21"/>
          <w:szCs w:val="21"/>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3"/>
        <w:jc w:val="center"/>
        <w:rPr>
          <w:rFonts w:hint="eastAsia" w:ascii="宋体" w:hAnsi="宋体" w:eastAsia="宋体" w:cs="宋体"/>
          <w:b w:val="0"/>
          <w:bCs w:val="0"/>
          <w:sz w:val="21"/>
          <w:szCs w:val="21"/>
          <w:vertAlign w:val="baseli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E25A4220-DA69-486A-B556-BA922CEAD616}"/>
  </w:font>
  <w:font w:name="黑体">
    <w:panose1 w:val="02010609060101010101"/>
    <w:charset w:val="86"/>
    <w:family w:val="auto"/>
    <w:pitch w:val="default"/>
    <w:sig w:usb0="800002BF" w:usb1="38CF7CFA" w:usb2="00000016" w:usb3="00000000" w:csb0="00040001" w:csb1="00000000"/>
    <w:embedRegular r:id="rId2" w:fontKey="{C8583CA6-761F-47DA-A2FB-B21D2044FB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CE862E8-F1A3-4755-B6E8-D9AF5CFD960A}"/>
  </w:font>
  <w:font w:name="方正小标宋简体">
    <w:panose1 w:val="02000000000000000000"/>
    <w:charset w:val="86"/>
    <w:family w:val="script"/>
    <w:pitch w:val="default"/>
    <w:sig w:usb0="00000001" w:usb1="08000000" w:usb2="00000000" w:usb3="00000000" w:csb0="00040000" w:csb1="00000000"/>
    <w:embedRegular r:id="rId4" w:fontKey="{85EF02DC-1A75-4D81-9166-13B7D67602D9}"/>
  </w:font>
  <w:font w:name="楷体">
    <w:panose1 w:val="02010609060101010101"/>
    <w:charset w:val="86"/>
    <w:family w:val="modern"/>
    <w:pitch w:val="default"/>
    <w:sig w:usb0="800002BF" w:usb1="38CF7CFA" w:usb2="00000016" w:usb3="00000000" w:csb0="00040001" w:csb1="00000000"/>
    <w:embedRegular r:id="rId5" w:fontKey="{0E7BD04F-B8FB-417B-A94B-5C77224D7442}"/>
  </w:font>
  <w:font w:name="仿宋_GB2312">
    <w:altName w:val="仿宋"/>
    <w:panose1 w:val="02010609030101010101"/>
    <w:charset w:val="86"/>
    <w:family w:val="modern"/>
    <w:pitch w:val="default"/>
    <w:sig w:usb0="00000000" w:usb1="00000000" w:usb2="00000000" w:usb3="00000000" w:csb0="00040000" w:csb1="00000000"/>
    <w:embedRegular r:id="rId6" w:fontKey="{24652198-CB3F-4FE0-A92D-3E0F9F5CC72D}"/>
  </w:font>
  <w:font w:name="华文中宋">
    <w:panose1 w:val="02010600040101010101"/>
    <w:charset w:val="86"/>
    <w:family w:val="auto"/>
    <w:pitch w:val="default"/>
    <w:sig w:usb0="00000287" w:usb1="080F0000" w:usb2="00000000" w:usb3="00000000" w:csb0="0004009F" w:csb1="DFD70000"/>
    <w:embedRegular r:id="rId7" w:fontKey="{325BA37A-8649-40B2-9F7A-154BD961D684}"/>
  </w:font>
  <w:font w:name="仿宋">
    <w:panose1 w:val="02010609060101010101"/>
    <w:charset w:val="86"/>
    <w:family w:val="auto"/>
    <w:pitch w:val="default"/>
    <w:sig w:usb0="800002BF" w:usb1="38CF7CFA" w:usb2="00000016" w:usb3="00000000" w:csb0="00040001" w:csb1="00000000"/>
    <w:embedRegular r:id="rId8" w:fontKey="{C5A9B871-3B09-4AF9-A5EB-666E613D32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EwMWNkMmM1OTEzMzUxNjc4OGZlOTBlYWVmNDQifQ=="/>
  </w:docVars>
  <w:rsids>
    <w:rsidRoot w:val="00000000"/>
    <w:rsid w:val="0108264C"/>
    <w:rsid w:val="03D662E9"/>
    <w:rsid w:val="0690662C"/>
    <w:rsid w:val="0D441993"/>
    <w:rsid w:val="0E285061"/>
    <w:rsid w:val="0F496374"/>
    <w:rsid w:val="10AE47B4"/>
    <w:rsid w:val="15DB44F0"/>
    <w:rsid w:val="16B70AB9"/>
    <w:rsid w:val="185140D2"/>
    <w:rsid w:val="18F13F88"/>
    <w:rsid w:val="19996254"/>
    <w:rsid w:val="22AA2A22"/>
    <w:rsid w:val="2BBB3D91"/>
    <w:rsid w:val="2F9D32B6"/>
    <w:rsid w:val="35255919"/>
    <w:rsid w:val="357C4F4F"/>
    <w:rsid w:val="3BC36C47"/>
    <w:rsid w:val="3D9A08FC"/>
    <w:rsid w:val="46F31FF5"/>
    <w:rsid w:val="4A400073"/>
    <w:rsid w:val="4B3F4CAA"/>
    <w:rsid w:val="4BF622CD"/>
    <w:rsid w:val="53202F66"/>
    <w:rsid w:val="552F56E3"/>
    <w:rsid w:val="571F2D49"/>
    <w:rsid w:val="5E4C10B3"/>
    <w:rsid w:val="61044A3C"/>
    <w:rsid w:val="61880654"/>
    <w:rsid w:val="68242759"/>
    <w:rsid w:val="68A953B8"/>
    <w:rsid w:val="6A4403F5"/>
    <w:rsid w:val="77E36BEA"/>
    <w:rsid w:val="78D9371F"/>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adjustRightInd w:val="0"/>
      <w:snapToGrid w:val="0"/>
      <w:spacing w:before="120" w:after="120"/>
      <w:jc w:val="center"/>
      <w:outlineLvl w:val="0"/>
    </w:pPr>
    <w:rPr>
      <w:b/>
      <w:bCs/>
      <w:kern w:val="44"/>
      <w:sz w:val="36"/>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qFormat/>
    <w:uiPriority w:val="0"/>
    <w:pPr>
      <w:ind w:firstLine="420" w:firstLineChars="100"/>
    </w:pPr>
    <w:rPr>
      <w:rFonts w:cs="Calibri"/>
      <w:color w:val="000000"/>
      <w:kern w:val="1"/>
      <w:szCs w:val="22"/>
    </w:rPr>
  </w:style>
  <w:style w:type="paragraph" w:styleId="7">
    <w:name w:val="Normal Indent"/>
    <w:basedOn w:val="1"/>
    <w:qFormat/>
    <w:uiPriority w:val="0"/>
    <w:pPr>
      <w:ind w:firstLine="420" w:firstLineChars="200"/>
    </w:pPr>
    <w:rPr>
      <w:kern w:val="0"/>
      <w:sz w:val="20"/>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333333"/>
      <w:u w:val="none"/>
    </w:rPr>
  </w:style>
  <w:style w:type="paragraph" w:styleId="16">
    <w:name w:val="List Paragraph"/>
    <w:basedOn w:val="1"/>
    <w:qFormat/>
    <w:uiPriority w:val="0"/>
    <w:pPr>
      <w:ind w:firstLine="420" w:firstLineChars="200"/>
    </w:pPr>
    <w:rPr>
      <w:kern w:val="0"/>
      <w:sz w:val="20"/>
    </w:rPr>
  </w:style>
  <w:style w:type="paragraph" w:customStyle="1" w:styleId="17">
    <w:name w:val="正文首行缩进两字符"/>
    <w:basedOn w:val="1"/>
    <w:qFormat/>
    <w:uiPriority w:val="0"/>
    <w:pPr>
      <w:spacing w:line="360" w:lineRule="auto"/>
      <w:ind w:firstLine="200" w:firstLineChars="200"/>
    </w:pPr>
    <w:rPr>
      <w:kern w:val="0"/>
      <w:sz w:val="20"/>
    </w:rPr>
  </w:style>
  <w:style w:type="paragraph" w:customStyle="1" w:styleId="18">
    <w:name w:val="CD正文"/>
    <w:basedOn w:val="1"/>
    <w:qFormat/>
    <w:uiPriority w:val="99"/>
    <w:pPr>
      <w:spacing w:line="360" w:lineRule="auto"/>
      <w:ind w:firstLine="493"/>
    </w:pPr>
    <w:rPr>
      <w:sz w:val="30"/>
      <w:szCs w:val="30"/>
    </w:rPr>
  </w:style>
  <w:style w:type="character" w:customStyle="1" w:styleId="19">
    <w:name w:val="标题 1 Char"/>
    <w:link w:val="4"/>
    <w:qFormat/>
    <w:uiPriority w:val="0"/>
    <w:rPr>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5997</Words>
  <Characters>6342</Characters>
  <Lines>0</Lines>
  <Paragraphs>0</Paragraphs>
  <TotalTime>4</TotalTime>
  <ScaleCrop>false</ScaleCrop>
  <LinksUpToDate>false</LinksUpToDate>
  <CharactersWithSpaces>7316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2023-12-11T05:42:51Z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