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等线" w:hAnsi="等线" w:eastAsia="等线" w:cs="Arial Unicode MS"/>
          <w:b/>
          <w:sz w:val="38"/>
        </w:rPr>
      </w:pPr>
    </w:p>
    <w:p>
      <w:pPr>
        <w:pStyle w:val="10"/>
        <w:jc w:val="center"/>
        <w:rPr>
          <w:rFonts w:hint="eastAsia" w:ascii="黑体" w:hAnsi="黑体" w:eastAsia="黑体" w:cs="Arial Unicode MS"/>
          <w:b/>
          <w:sz w:val="44"/>
          <w:szCs w:val="44"/>
        </w:rPr>
      </w:pPr>
      <w:r>
        <w:rPr>
          <w:rFonts w:hint="eastAsia" w:ascii="Arial Unicode MS" w:hAnsi="Arial Unicode MS" w:eastAsia="Arial Unicode MS" w:cs="Arial Unicode MS"/>
          <w:sz w:val="44"/>
          <w:szCs w:val="44"/>
        </w:rPr>
        <w:t>西昌民族幼儿师范高等专科学校</w:t>
      </w:r>
      <w:r>
        <w:rPr>
          <w:rFonts w:hint="eastAsia" w:ascii="Arial Unicode MS" w:hAnsi="Arial Unicode MS" w:eastAsia="Arial Unicode MS" w:cs="Arial Unicode MS"/>
          <w:sz w:val="44"/>
          <w:szCs w:val="44"/>
          <w:lang w:val="en-US" w:eastAsia="zh-CN"/>
        </w:rPr>
        <w:t>2023年研究生考试智能安检门、屏蔽仪</w:t>
      </w:r>
      <w:r>
        <w:rPr>
          <w:rFonts w:hint="eastAsia" w:ascii="Arial Unicode MS" w:hAnsi="Arial Unicode MS" w:eastAsia="Arial Unicode MS" w:cs="Arial Unicode MS"/>
          <w:sz w:val="44"/>
          <w:szCs w:val="44"/>
          <w:lang w:eastAsia="zh-CN"/>
        </w:rPr>
        <w:t>租赁项目</w:t>
      </w: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spacing w:line="360" w:lineRule="auto"/>
        <w:jc w:val="center"/>
        <w:rPr>
          <w:rFonts w:hint="eastAsia" w:ascii="宋体" w:hAnsi="宋体" w:cs="宋体"/>
          <w:b/>
          <w:sz w:val="38"/>
        </w:rPr>
      </w:pPr>
      <w:r>
        <w:rPr>
          <w:rFonts w:hint="eastAsia" w:ascii="等线" w:hAnsi="等线" w:eastAsia="等线" w:cs="Arial Unicode MS"/>
          <w:b/>
          <w:sz w:val="84"/>
          <w:szCs w:val="84"/>
          <w:lang w:eastAsia="zh-CN"/>
        </w:rPr>
        <w:t>询价</w:t>
      </w:r>
      <w:r>
        <w:rPr>
          <w:rFonts w:hint="eastAsia" w:ascii="等线" w:hAnsi="等线" w:eastAsia="等线" w:cs="Arial Unicode MS"/>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10"/>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3</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11</w:t>
      </w:r>
      <w:r>
        <w:rPr>
          <w:rFonts w:ascii="华文中宋" w:hAnsi="华文中宋" w:eastAsia="华文中宋"/>
          <w:bCs/>
          <w:sz w:val="30"/>
          <w:szCs w:val="30"/>
          <w:lang w:val="zh-CN"/>
        </w:rPr>
        <w:t>月</w:t>
      </w:r>
    </w:p>
    <w:p>
      <w:pPr>
        <w:pStyle w:val="10"/>
        <w:rPr>
          <w:rFonts w:hint="eastAsia"/>
        </w:rPr>
      </w:pPr>
    </w:p>
    <w:p>
      <w:pPr>
        <w:pStyle w:val="10"/>
        <w:jc w:val="center"/>
        <w:rPr>
          <w:rFonts w:ascii="宋体" w:hAnsi="宋体"/>
          <w:b/>
          <w:bCs/>
          <w:sz w:val="36"/>
          <w:szCs w:val="36"/>
        </w:rPr>
      </w:pPr>
    </w:p>
    <w:p>
      <w:pPr>
        <w:pStyle w:val="10"/>
        <w:jc w:val="center"/>
        <w:rPr>
          <w:rFonts w:ascii="宋体" w:hAnsi="宋体"/>
          <w:b/>
          <w:bCs/>
          <w:sz w:val="36"/>
          <w:szCs w:val="36"/>
        </w:rPr>
      </w:pPr>
    </w:p>
    <w:p>
      <w:pPr>
        <w:pStyle w:val="10"/>
        <w:jc w:val="center"/>
        <w:rPr>
          <w:rFonts w:ascii="宋体" w:hAnsi="宋体"/>
          <w:b/>
          <w:bCs/>
          <w:sz w:val="36"/>
          <w:szCs w:val="36"/>
        </w:rPr>
      </w:pPr>
    </w:p>
    <w:p>
      <w:pPr>
        <w:pStyle w:val="10"/>
        <w:jc w:val="center"/>
        <w:rPr>
          <w:rFonts w:ascii="宋体" w:hAnsi="宋体"/>
          <w:b/>
          <w:bCs/>
          <w:sz w:val="36"/>
          <w:szCs w:val="36"/>
        </w:rPr>
      </w:pPr>
    </w:p>
    <w:p>
      <w:pPr>
        <w:pStyle w:val="10"/>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10"/>
        <w:spacing w:line="360" w:lineRule="auto"/>
        <w:rPr>
          <w:rFonts w:hint="eastAsia" w:ascii="宋体" w:hAnsi="宋体"/>
        </w:rPr>
      </w:pPr>
    </w:p>
    <w:p>
      <w:pPr>
        <w:pStyle w:val="21"/>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38"/>
          <w:sz w:val="28"/>
          <w:szCs w:val="28"/>
        </w:rPr>
        <w:instrText xml:space="preserve"> </w:instrText>
      </w:r>
      <w:r>
        <w:rPr>
          <w:sz w:val="28"/>
          <w:szCs w:val="28"/>
        </w:rPr>
        <w:instrText xml:space="preserve">HYPERLINK \l "_Toc60142196"</w:instrText>
      </w:r>
      <w:r>
        <w:rPr>
          <w:rStyle w:val="38"/>
          <w:sz w:val="28"/>
          <w:szCs w:val="28"/>
        </w:rPr>
        <w:instrText xml:space="preserve"> </w:instrText>
      </w:r>
      <w:r>
        <w:rPr>
          <w:sz w:val="28"/>
          <w:szCs w:val="28"/>
        </w:rPr>
        <w:fldChar w:fldCharType="separate"/>
      </w:r>
      <w:r>
        <w:rPr>
          <w:rStyle w:val="38"/>
          <w:sz w:val="28"/>
          <w:szCs w:val="28"/>
        </w:rPr>
        <w:t xml:space="preserve">第一章 </w:t>
      </w:r>
      <w:r>
        <w:rPr>
          <w:rStyle w:val="38"/>
          <w:rFonts w:hint="eastAsia"/>
          <w:sz w:val="28"/>
          <w:szCs w:val="28"/>
          <w:lang w:eastAsia="zh-CN"/>
        </w:rPr>
        <w:t>询价</w:t>
      </w:r>
      <w:r>
        <w:rPr>
          <w:rStyle w:val="38"/>
          <w:rFonts w:hint="eastAsia"/>
          <w:sz w:val="28"/>
          <w:szCs w:val="28"/>
        </w:rPr>
        <w:t>邀请</w:t>
      </w:r>
      <w:r>
        <w:rPr>
          <w:sz w:val="28"/>
          <w:szCs w:val="28"/>
        </w:rPr>
        <w:tab/>
      </w:r>
      <w:r>
        <w:rPr>
          <w:rFonts w:hint="eastAsia"/>
          <w:sz w:val="28"/>
          <w:szCs w:val="28"/>
        </w:rPr>
        <w:t>3</w:t>
      </w:r>
      <w:r>
        <w:rPr>
          <w:sz w:val="28"/>
          <w:szCs w:val="28"/>
        </w:rPr>
        <w:fldChar w:fldCharType="end"/>
      </w:r>
    </w:p>
    <w:p>
      <w:pPr>
        <w:pStyle w:val="21"/>
        <w:tabs>
          <w:tab w:val="right" w:leader="dot" w:pos="8982"/>
        </w:tabs>
        <w:spacing w:line="360" w:lineRule="auto"/>
        <w:rPr>
          <w:rFonts w:hint="eastAsia" w:ascii="等线" w:hAnsi="等线"/>
          <w:sz w:val="28"/>
          <w:szCs w:val="28"/>
        </w:rPr>
      </w:pPr>
      <w:r>
        <w:rPr>
          <w:sz w:val="28"/>
          <w:szCs w:val="28"/>
        </w:rPr>
        <w:fldChar w:fldCharType="begin"/>
      </w:r>
      <w:r>
        <w:rPr>
          <w:rStyle w:val="38"/>
          <w:sz w:val="28"/>
          <w:szCs w:val="28"/>
        </w:rPr>
        <w:instrText xml:space="preserve"> </w:instrText>
      </w:r>
      <w:r>
        <w:rPr>
          <w:sz w:val="28"/>
          <w:szCs w:val="28"/>
        </w:rPr>
        <w:instrText xml:space="preserve">HYPERLINK \l "_Toc60142197"</w:instrText>
      </w:r>
      <w:r>
        <w:rPr>
          <w:rStyle w:val="38"/>
          <w:sz w:val="28"/>
          <w:szCs w:val="28"/>
        </w:rPr>
        <w:instrText xml:space="preserve"> </w:instrText>
      </w:r>
      <w:r>
        <w:rPr>
          <w:sz w:val="28"/>
          <w:szCs w:val="28"/>
        </w:rPr>
        <w:fldChar w:fldCharType="separate"/>
      </w:r>
      <w:r>
        <w:rPr>
          <w:rStyle w:val="38"/>
          <w:sz w:val="28"/>
          <w:szCs w:val="28"/>
        </w:rPr>
        <w:t xml:space="preserve">第二章 </w:t>
      </w:r>
      <w:r>
        <w:rPr>
          <w:rStyle w:val="38"/>
          <w:rFonts w:hint="eastAsia"/>
          <w:sz w:val="28"/>
          <w:szCs w:val="28"/>
          <w:lang w:eastAsia="zh-CN"/>
        </w:rPr>
        <w:t>询价</w:t>
      </w:r>
      <w:r>
        <w:rPr>
          <w:rStyle w:val="38"/>
          <w:sz w:val="28"/>
          <w:szCs w:val="28"/>
        </w:rPr>
        <w:t>须知</w:t>
      </w:r>
      <w:r>
        <w:rPr>
          <w:sz w:val="28"/>
          <w:szCs w:val="28"/>
        </w:rPr>
        <w:tab/>
      </w:r>
      <w:r>
        <w:rPr>
          <w:rFonts w:hint="eastAsia"/>
          <w:sz w:val="28"/>
          <w:szCs w:val="28"/>
        </w:rPr>
        <w:t>1</w:t>
      </w:r>
      <w:r>
        <w:rPr>
          <w:sz w:val="28"/>
          <w:szCs w:val="28"/>
        </w:rPr>
        <w:fldChar w:fldCharType="end"/>
      </w:r>
      <w:r>
        <w:rPr>
          <w:rFonts w:hint="eastAsia"/>
          <w:sz w:val="28"/>
          <w:szCs w:val="28"/>
        </w:rPr>
        <w:t>0</w:t>
      </w:r>
    </w:p>
    <w:p>
      <w:pPr>
        <w:pStyle w:val="21"/>
        <w:tabs>
          <w:tab w:val="right" w:leader="dot" w:pos="8982"/>
        </w:tabs>
        <w:spacing w:line="360" w:lineRule="auto"/>
        <w:rPr>
          <w:rFonts w:hint="eastAsia" w:ascii="等线" w:hAnsi="等线"/>
          <w:sz w:val="28"/>
          <w:szCs w:val="28"/>
        </w:rPr>
      </w:pPr>
      <w:r>
        <w:rPr>
          <w:sz w:val="28"/>
          <w:szCs w:val="28"/>
        </w:rPr>
        <w:fldChar w:fldCharType="begin"/>
      </w:r>
      <w:r>
        <w:rPr>
          <w:rStyle w:val="38"/>
          <w:sz w:val="28"/>
          <w:szCs w:val="28"/>
        </w:rPr>
        <w:instrText xml:space="preserve"> </w:instrText>
      </w:r>
      <w:r>
        <w:rPr>
          <w:sz w:val="28"/>
          <w:szCs w:val="28"/>
        </w:rPr>
        <w:instrText xml:space="preserve">HYPERLINK \l "_Toc60142198"</w:instrText>
      </w:r>
      <w:r>
        <w:rPr>
          <w:rStyle w:val="38"/>
          <w:sz w:val="28"/>
          <w:szCs w:val="28"/>
        </w:rPr>
        <w:instrText xml:space="preserve"> </w:instrText>
      </w:r>
      <w:r>
        <w:rPr>
          <w:sz w:val="28"/>
          <w:szCs w:val="28"/>
        </w:rPr>
        <w:fldChar w:fldCharType="separate"/>
      </w:r>
      <w:r>
        <w:rPr>
          <w:rStyle w:val="38"/>
          <w:sz w:val="28"/>
          <w:szCs w:val="28"/>
        </w:rPr>
        <w:t>第三章 评选程序</w:t>
      </w:r>
      <w:r>
        <w:rPr>
          <w:sz w:val="28"/>
          <w:szCs w:val="28"/>
        </w:rPr>
        <w:tab/>
      </w:r>
      <w:r>
        <w:rPr>
          <w:rFonts w:hint="eastAsia"/>
          <w:sz w:val="28"/>
          <w:szCs w:val="28"/>
        </w:rPr>
        <w:t>1</w:t>
      </w:r>
      <w:r>
        <w:rPr>
          <w:sz w:val="28"/>
          <w:szCs w:val="28"/>
        </w:rPr>
        <w:fldChar w:fldCharType="end"/>
      </w:r>
      <w:r>
        <w:rPr>
          <w:rFonts w:hint="eastAsia"/>
          <w:sz w:val="28"/>
          <w:szCs w:val="28"/>
        </w:rPr>
        <w:t>1</w:t>
      </w:r>
    </w:p>
    <w:p>
      <w:pPr>
        <w:pStyle w:val="21"/>
        <w:tabs>
          <w:tab w:val="right" w:leader="dot" w:pos="8982"/>
        </w:tabs>
        <w:spacing w:line="360" w:lineRule="auto"/>
        <w:rPr>
          <w:rFonts w:hint="eastAsia" w:ascii="等线" w:hAnsi="等线"/>
          <w:sz w:val="28"/>
          <w:szCs w:val="28"/>
        </w:rPr>
      </w:pPr>
      <w:r>
        <w:rPr>
          <w:sz w:val="28"/>
          <w:szCs w:val="28"/>
        </w:rPr>
        <w:fldChar w:fldCharType="begin"/>
      </w:r>
      <w:r>
        <w:rPr>
          <w:rStyle w:val="38"/>
          <w:sz w:val="28"/>
          <w:szCs w:val="28"/>
        </w:rPr>
        <w:instrText xml:space="preserve"> </w:instrText>
      </w:r>
      <w:r>
        <w:rPr>
          <w:sz w:val="28"/>
          <w:szCs w:val="28"/>
        </w:rPr>
        <w:instrText xml:space="preserve">HYPERLINK \l "_Toc60142199"</w:instrText>
      </w:r>
      <w:r>
        <w:rPr>
          <w:rStyle w:val="38"/>
          <w:sz w:val="28"/>
          <w:szCs w:val="28"/>
        </w:rPr>
        <w:instrText xml:space="preserve"> </w:instrText>
      </w:r>
      <w:r>
        <w:rPr>
          <w:sz w:val="28"/>
          <w:szCs w:val="28"/>
        </w:rPr>
        <w:fldChar w:fldCharType="separate"/>
      </w:r>
      <w:r>
        <w:rPr>
          <w:rStyle w:val="38"/>
          <w:sz w:val="28"/>
          <w:szCs w:val="28"/>
        </w:rPr>
        <w:t>第四章 供应商资格条件要求</w:t>
      </w:r>
      <w:r>
        <w:rPr>
          <w:sz w:val="28"/>
          <w:szCs w:val="28"/>
        </w:rPr>
        <w:tab/>
      </w:r>
      <w:r>
        <w:rPr>
          <w:rFonts w:hint="eastAsia"/>
          <w:sz w:val="28"/>
          <w:szCs w:val="28"/>
        </w:rPr>
        <w:t>1</w:t>
      </w:r>
      <w:r>
        <w:rPr>
          <w:sz w:val="28"/>
          <w:szCs w:val="28"/>
        </w:rPr>
        <w:fldChar w:fldCharType="end"/>
      </w:r>
      <w:r>
        <w:rPr>
          <w:rFonts w:hint="eastAsia"/>
          <w:sz w:val="28"/>
          <w:szCs w:val="28"/>
        </w:rPr>
        <w:t>2</w:t>
      </w:r>
    </w:p>
    <w:p>
      <w:pPr>
        <w:pStyle w:val="21"/>
        <w:tabs>
          <w:tab w:val="right" w:leader="dot" w:pos="8982"/>
        </w:tabs>
        <w:spacing w:line="360" w:lineRule="auto"/>
        <w:rPr>
          <w:rFonts w:hint="eastAsia" w:ascii="等线" w:hAnsi="等线"/>
          <w:sz w:val="28"/>
          <w:szCs w:val="28"/>
        </w:rPr>
      </w:pPr>
      <w:r>
        <w:rPr>
          <w:sz w:val="28"/>
          <w:szCs w:val="28"/>
        </w:rPr>
        <w:fldChar w:fldCharType="begin"/>
      </w:r>
      <w:r>
        <w:rPr>
          <w:rStyle w:val="38"/>
          <w:sz w:val="28"/>
          <w:szCs w:val="28"/>
        </w:rPr>
        <w:instrText xml:space="preserve"> </w:instrText>
      </w:r>
      <w:r>
        <w:rPr>
          <w:sz w:val="28"/>
          <w:szCs w:val="28"/>
        </w:rPr>
        <w:instrText xml:space="preserve">HYPERLINK \l "_Toc60142200"</w:instrText>
      </w:r>
      <w:r>
        <w:rPr>
          <w:rStyle w:val="38"/>
          <w:sz w:val="28"/>
          <w:szCs w:val="28"/>
        </w:rPr>
        <w:instrText xml:space="preserve"> </w:instrText>
      </w:r>
      <w:r>
        <w:rPr>
          <w:sz w:val="28"/>
          <w:szCs w:val="28"/>
        </w:rPr>
        <w:fldChar w:fldCharType="separate"/>
      </w:r>
      <w:r>
        <w:rPr>
          <w:rStyle w:val="38"/>
          <w:rFonts w:ascii="宋体" w:hAnsi="宋体"/>
          <w:sz w:val="28"/>
          <w:szCs w:val="28"/>
        </w:rPr>
        <w:t>第</w:t>
      </w:r>
      <w:r>
        <w:rPr>
          <w:rStyle w:val="38"/>
          <w:rFonts w:hint="eastAsia" w:ascii="宋体" w:hAnsi="宋体"/>
          <w:sz w:val="28"/>
          <w:szCs w:val="28"/>
        </w:rPr>
        <w:t>五</w:t>
      </w:r>
      <w:r>
        <w:rPr>
          <w:rStyle w:val="38"/>
          <w:rFonts w:ascii="宋体" w:hAnsi="宋体"/>
          <w:sz w:val="28"/>
          <w:szCs w:val="28"/>
        </w:rPr>
        <w:t>章 供应商资格证明材料</w:t>
      </w:r>
      <w:r>
        <w:rPr>
          <w:sz w:val="28"/>
          <w:szCs w:val="28"/>
        </w:rPr>
        <w:tab/>
      </w:r>
      <w:r>
        <w:rPr>
          <w:rFonts w:hint="eastAsia"/>
          <w:sz w:val="28"/>
          <w:szCs w:val="28"/>
        </w:rPr>
        <w:t>1</w:t>
      </w:r>
      <w:r>
        <w:rPr>
          <w:sz w:val="28"/>
          <w:szCs w:val="28"/>
        </w:rPr>
        <w:fldChar w:fldCharType="end"/>
      </w:r>
      <w:r>
        <w:rPr>
          <w:rFonts w:hint="eastAsia"/>
          <w:sz w:val="28"/>
          <w:szCs w:val="28"/>
        </w:rPr>
        <w:t>3</w:t>
      </w:r>
    </w:p>
    <w:p>
      <w:pPr>
        <w:pStyle w:val="21"/>
        <w:tabs>
          <w:tab w:val="right" w:leader="dot" w:pos="8982"/>
        </w:tabs>
        <w:spacing w:line="360" w:lineRule="auto"/>
        <w:rPr>
          <w:rFonts w:hint="eastAsia" w:ascii="等线" w:hAnsi="等线"/>
          <w:sz w:val="28"/>
          <w:szCs w:val="28"/>
        </w:rPr>
      </w:pPr>
      <w:r>
        <w:rPr>
          <w:sz w:val="28"/>
          <w:szCs w:val="28"/>
        </w:rPr>
        <w:fldChar w:fldCharType="begin"/>
      </w:r>
      <w:r>
        <w:rPr>
          <w:rStyle w:val="38"/>
          <w:sz w:val="28"/>
          <w:szCs w:val="28"/>
        </w:rPr>
        <w:instrText xml:space="preserve"> </w:instrText>
      </w:r>
      <w:r>
        <w:rPr>
          <w:sz w:val="28"/>
          <w:szCs w:val="28"/>
        </w:rPr>
        <w:instrText xml:space="preserve">HYPERLINK \l "_Toc60142201"</w:instrText>
      </w:r>
      <w:r>
        <w:rPr>
          <w:rStyle w:val="38"/>
          <w:sz w:val="28"/>
          <w:szCs w:val="28"/>
        </w:rPr>
        <w:instrText xml:space="preserve"> </w:instrText>
      </w:r>
      <w:r>
        <w:rPr>
          <w:sz w:val="28"/>
          <w:szCs w:val="28"/>
        </w:rPr>
        <w:fldChar w:fldCharType="separate"/>
      </w:r>
      <w:r>
        <w:rPr>
          <w:rStyle w:val="38"/>
          <w:sz w:val="28"/>
          <w:szCs w:val="28"/>
        </w:rPr>
        <w:t>第</w:t>
      </w:r>
      <w:r>
        <w:rPr>
          <w:rStyle w:val="38"/>
          <w:rFonts w:hint="eastAsia"/>
          <w:sz w:val="28"/>
          <w:szCs w:val="28"/>
        </w:rPr>
        <w:t>六</w:t>
      </w:r>
      <w:r>
        <w:rPr>
          <w:rStyle w:val="38"/>
          <w:sz w:val="28"/>
          <w:szCs w:val="28"/>
        </w:rPr>
        <w:t>章 响应文件格式</w:t>
      </w:r>
      <w:r>
        <w:rPr>
          <w:sz w:val="28"/>
          <w:szCs w:val="28"/>
        </w:rPr>
        <w:tab/>
      </w:r>
      <w:r>
        <w:rPr>
          <w:rFonts w:hint="eastAsia"/>
          <w:sz w:val="28"/>
          <w:szCs w:val="28"/>
        </w:rPr>
        <w:t>1</w:t>
      </w:r>
      <w:r>
        <w:rPr>
          <w:sz w:val="28"/>
          <w:szCs w:val="28"/>
        </w:rPr>
        <w:fldChar w:fldCharType="end"/>
      </w:r>
      <w:r>
        <w:rPr>
          <w:rFonts w:hint="eastAsia"/>
          <w:sz w:val="28"/>
          <w:szCs w:val="28"/>
        </w:rPr>
        <w:t>4</w:t>
      </w:r>
    </w:p>
    <w:p>
      <w:pPr>
        <w:pStyle w:val="21"/>
        <w:tabs>
          <w:tab w:val="right" w:leader="dot" w:pos="8982"/>
        </w:tabs>
        <w:spacing w:line="360" w:lineRule="auto"/>
        <w:rPr>
          <w:rFonts w:hint="eastAsia" w:ascii="等线" w:hAnsi="等线"/>
          <w:sz w:val="28"/>
          <w:szCs w:val="28"/>
        </w:rPr>
      </w:pPr>
      <w:r>
        <w:rPr>
          <w:sz w:val="28"/>
          <w:szCs w:val="28"/>
        </w:rPr>
        <w:fldChar w:fldCharType="begin"/>
      </w:r>
      <w:r>
        <w:rPr>
          <w:rStyle w:val="38"/>
          <w:sz w:val="28"/>
          <w:szCs w:val="28"/>
        </w:rPr>
        <w:instrText xml:space="preserve"> </w:instrText>
      </w:r>
      <w:r>
        <w:rPr>
          <w:sz w:val="28"/>
          <w:szCs w:val="28"/>
        </w:rPr>
        <w:instrText xml:space="preserve">HYPERLINK \l "_Toc60142204"</w:instrText>
      </w:r>
      <w:r>
        <w:rPr>
          <w:rStyle w:val="38"/>
          <w:sz w:val="28"/>
          <w:szCs w:val="28"/>
        </w:rPr>
        <w:instrText xml:space="preserve"> </w:instrText>
      </w:r>
      <w:r>
        <w:rPr>
          <w:sz w:val="28"/>
          <w:szCs w:val="28"/>
        </w:rPr>
        <w:fldChar w:fldCharType="separate"/>
      </w:r>
      <w:r>
        <w:rPr>
          <w:rStyle w:val="38"/>
          <w:sz w:val="28"/>
          <w:szCs w:val="28"/>
        </w:rPr>
        <w:t>第</w:t>
      </w:r>
      <w:r>
        <w:rPr>
          <w:rStyle w:val="38"/>
          <w:rFonts w:hint="eastAsia"/>
          <w:sz w:val="28"/>
          <w:szCs w:val="28"/>
        </w:rPr>
        <w:t>七</w:t>
      </w:r>
      <w:r>
        <w:rPr>
          <w:rStyle w:val="38"/>
          <w:sz w:val="28"/>
          <w:szCs w:val="28"/>
        </w:rPr>
        <w:t xml:space="preserve">章 </w:t>
      </w:r>
      <w:r>
        <w:rPr>
          <w:rStyle w:val="38"/>
          <w:rFonts w:hint="eastAsia"/>
          <w:sz w:val="28"/>
          <w:szCs w:val="28"/>
          <w:lang w:eastAsia="zh-CN"/>
        </w:rPr>
        <w:t>询价</w:t>
      </w:r>
      <w:r>
        <w:rPr>
          <w:rStyle w:val="38"/>
          <w:sz w:val="28"/>
          <w:szCs w:val="28"/>
        </w:rPr>
        <w:t>方法及报告</w:t>
      </w:r>
      <w:r>
        <w:rPr>
          <w:sz w:val="28"/>
          <w:szCs w:val="28"/>
        </w:rPr>
        <w:tab/>
      </w:r>
      <w:r>
        <w:rPr>
          <w:rFonts w:hint="eastAsia"/>
          <w:sz w:val="28"/>
          <w:szCs w:val="28"/>
        </w:rPr>
        <w:t>2</w:t>
      </w:r>
      <w:r>
        <w:rPr>
          <w:sz w:val="28"/>
          <w:szCs w:val="28"/>
        </w:rPr>
        <w:fldChar w:fldCharType="end"/>
      </w:r>
      <w:r>
        <w:rPr>
          <w:rFonts w:hint="eastAsia"/>
          <w:sz w:val="28"/>
          <w:szCs w:val="28"/>
        </w:rPr>
        <w:t>2</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2"/>
        <w:rPr>
          <w:rFonts w:hint="eastAsia"/>
          <w:color w:val="auto"/>
        </w:rPr>
      </w:pPr>
      <w:r>
        <w:rPr>
          <w:rFonts w:hint="eastAsia"/>
          <w:sz w:val="24"/>
        </w:rPr>
        <w:br w:type="page"/>
      </w:r>
      <w:bookmarkStart w:id="0" w:name="_Toc15979"/>
      <w:bookmarkStart w:id="1" w:name="_Toc12898"/>
      <w:bookmarkStart w:id="2" w:name="_Toc60142196"/>
      <w:r>
        <w:rPr>
          <w:rFonts w:hint="eastAsia"/>
          <w:color w:val="auto"/>
        </w:rPr>
        <w:t xml:space="preserve">第一章 </w:t>
      </w:r>
      <w:bookmarkEnd w:id="0"/>
      <w:bookmarkEnd w:id="1"/>
      <w:r>
        <w:rPr>
          <w:rFonts w:hint="eastAsia"/>
          <w:color w:val="auto"/>
          <w:lang w:eastAsia="zh-CN"/>
        </w:rPr>
        <w:t>询价</w:t>
      </w:r>
      <w:r>
        <w:rPr>
          <w:rFonts w:hint="eastAsia"/>
          <w:color w:val="auto"/>
        </w:rPr>
        <w:t>邀请</w:t>
      </w:r>
      <w:bookmarkEnd w:id="2"/>
    </w:p>
    <w:p>
      <w:pPr>
        <w:pStyle w:val="10"/>
        <w:spacing w:line="360" w:lineRule="auto"/>
        <w:ind w:firstLine="480" w:firstLineChars="200"/>
        <w:rPr>
          <w:rFonts w:hint="eastAsia" w:ascii="宋体" w:hAnsi="宋体" w:cs="宋体"/>
          <w:color w:val="auto"/>
          <w:sz w:val="24"/>
        </w:rPr>
      </w:pPr>
    </w:p>
    <w:p>
      <w:pPr>
        <w:pStyle w:val="10"/>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val="en-US" w:eastAsia="zh-CN"/>
        </w:rPr>
        <w:t>2023年研究生考试智能安检门、屏蔽仪</w:t>
      </w:r>
      <w:r>
        <w:rPr>
          <w:rFonts w:hint="eastAsia" w:ascii="宋体" w:hAnsi="宋体" w:cs="宋体"/>
          <w:color w:val="auto"/>
          <w:sz w:val="24"/>
          <w:lang w:eastAsia="zh-CN"/>
        </w:rPr>
        <w:t>租赁项目</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auto"/>
          <w:kern w:val="0"/>
          <w:sz w:val="24"/>
        </w:rPr>
      </w:pPr>
      <w:r>
        <w:rPr>
          <w:rFonts w:hint="eastAsia" w:ascii="Arial" w:hAnsi="Arial" w:cs="仿宋"/>
          <w:b/>
          <w:color w:val="auto"/>
          <w:kern w:val="0"/>
          <w:sz w:val="24"/>
        </w:rPr>
        <w:t>一、采购项目概况：</w:t>
      </w:r>
    </w:p>
    <w:p>
      <w:pPr>
        <w:adjustRightInd w:val="0"/>
        <w:snapToGrid w:val="0"/>
        <w:spacing w:line="360" w:lineRule="auto"/>
        <w:ind w:firstLine="480" w:firstLineChars="200"/>
        <w:rPr>
          <w:rFonts w:hint="eastAsia" w:ascii="宋体" w:hAnsi="宋体" w:cs="仿宋"/>
          <w:color w:val="auto"/>
          <w:kern w:val="0"/>
          <w:sz w:val="24"/>
        </w:rPr>
      </w:pPr>
      <w:r>
        <w:rPr>
          <w:rFonts w:hint="eastAsia" w:ascii="宋体" w:hAnsi="宋体" w:cs="仿宋"/>
          <w:color w:val="auto"/>
          <w:kern w:val="0"/>
          <w:sz w:val="24"/>
        </w:rPr>
        <w:t>1.项目编号：XCMY202</w:t>
      </w:r>
      <w:r>
        <w:rPr>
          <w:rFonts w:hint="eastAsia" w:ascii="宋体" w:hAnsi="宋体" w:cs="仿宋"/>
          <w:color w:val="auto"/>
          <w:kern w:val="0"/>
          <w:sz w:val="24"/>
          <w:lang w:val="en-US" w:eastAsia="zh-CN"/>
        </w:rPr>
        <w:t>31113</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2.采购项目名称：西昌民族幼儿师范高等专科学校</w:t>
      </w:r>
      <w:r>
        <w:rPr>
          <w:rFonts w:hint="eastAsia" w:ascii="宋体" w:hAnsi="宋体" w:cs="仿宋"/>
          <w:color w:val="auto"/>
          <w:kern w:val="0"/>
          <w:sz w:val="24"/>
          <w:lang w:val="en-US" w:eastAsia="zh-CN"/>
        </w:rPr>
        <w:t>2023年研究生考试智能安检门、屏蔽仪</w:t>
      </w:r>
      <w:r>
        <w:rPr>
          <w:rFonts w:hint="eastAsia" w:ascii="宋体" w:hAnsi="宋体" w:cs="仿宋"/>
          <w:color w:val="auto"/>
          <w:kern w:val="0"/>
          <w:sz w:val="24"/>
          <w:lang w:eastAsia="zh-CN"/>
        </w:rPr>
        <w:t>租赁项目</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3.采购人：西昌民族幼儿师范高等专科学校。</w:t>
      </w:r>
    </w:p>
    <w:p>
      <w:pPr>
        <w:spacing w:line="360" w:lineRule="auto"/>
        <w:ind w:firstLine="420"/>
        <w:rPr>
          <w:rFonts w:hint="eastAsia" w:ascii="宋体" w:hAnsi="宋体" w:cs="仿宋"/>
          <w:color w:val="auto"/>
          <w:sz w:val="24"/>
        </w:rPr>
      </w:pPr>
      <w:r>
        <w:rPr>
          <w:rFonts w:hint="eastAsia" w:ascii="宋体" w:hAnsi="宋体" w:cs="仿宋"/>
          <w:color w:val="auto"/>
          <w:sz w:val="24"/>
        </w:rPr>
        <w:t>4.项目概况：随着手机、无线通讯设备的普及，各种考试作弊电子产品层出不穷，考试舞弊已严重影响考试的公平、公正。为提高国家教育考试考点管理标准化、规范化工作水平，维护国家教育考试的严肃性、权威性，国家针对考试防作弊系统的建设相继出台了技术标准和建设要求。从而有效遏制国家教育考试作弊行为，切实维护各类国家教育考试的公平、公正和良好秩序,维护考生的切身利益。</w:t>
      </w:r>
    </w:p>
    <w:p>
      <w:pPr>
        <w:spacing w:line="360" w:lineRule="auto"/>
        <w:ind w:firstLine="420"/>
        <w:rPr>
          <w:rFonts w:hint="eastAsia" w:ascii="宋体" w:hAnsi="宋体" w:cs="仿宋"/>
          <w:color w:val="auto"/>
          <w:sz w:val="24"/>
        </w:rPr>
      </w:pPr>
      <w:r>
        <w:rPr>
          <w:rFonts w:hint="eastAsia" w:ascii="宋体" w:hAnsi="宋体" w:cs="仿宋"/>
          <w:color w:val="auto"/>
          <w:sz w:val="24"/>
        </w:rPr>
        <w:t>2010年，国家教育考试中心《国家教育考试作弊防控系统无线电屏蔽技术规范（试行版）》中提出在系统整体设计方面采用“侦测引导阻断”技术方案。</w:t>
      </w:r>
    </w:p>
    <w:p>
      <w:pPr>
        <w:spacing w:line="360" w:lineRule="auto"/>
        <w:ind w:firstLine="420"/>
        <w:rPr>
          <w:rFonts w:hint="eastAsia" w:ascii="宋体" w:hAnsi="宋体" w:cs="仿宋"/>
          <w:color w:val="auto"/>
          <w:sz w:val="24"/>
        </w:rPr>
      </w:pPr>
      <w:r>
        <w:rPr>
          <w:rFonts w:hint="eastAsia" w:ascii="宋体" w:hAnsi="宋体" w:cs="仿宋"/>
          <w:color w:val="auto"/>
          <w:sz w:val="24"/>
        </w:rPr>
        <w:t>2011年，教育部、财政部下发了《教育部财政部关于大力推进国家教育考试标准化考点建设工作的通知》，决定大力推进以“考试综合业务系统、考生身份验证系统、作弊防控系统、视频及网络监控系统和应急指挥系统”五大建设任务为核心的标准化考点建设工作。</w:t>
      </w:r>
    </w:p>
    <w:p>
      <w:pPr>
        <w:spacing w:line="360" w:lineRule="auto"/>
        <w:ind w:firstLine="420"/>
        <w:rPr>
          <w:rFonts w:hint="eastAsia" w:ascii="宋体" w:hAnsi="宋体" w:cs="仿宋"/>
          <w:color w:val="auto"/>
          <w:sz w:val="24"/>
        </w:rPr>
      </w:pPr>
      <w:r>
        <w:rPr>
          <w:rFonts w:hint="eastAsia" w:ascii="宋体" w:hAnsi="宋体" w:cs="仿宋"/>
          <w:color w:val="auto"/>
          <w:sz w:val="24"/>
        </w:rPr>
        <w:t>2016年教育部国家教育考试中心组织相关人员成立国家教育考试标准化考点（考场）电磁防护措施研究课题组。</w:t>
      </w:r>
    </w:p>
    <w:p>
      <w:pPr>
        <w:spacing w:line="360" w:lineRule="auto"/>
        <w:ind w:firstLine="420"/>
        <w:rPr>
          <w:rFonts w:hint="eastAsia" w:ascii="宋体" w:hAnsi="宋体" w:cs="仿宋"/>
          <w:color w:val="auto"/>
          <w:sz w:val="24"/>
        </w:rPr>
      </w:pPr>
      <w:r>
        <w:rPr>
          <w:rFonts w:hint="eastAsia" w:ascii="宋体" w:hAnsi="宋体" w:cs="仿宋"/>
          <w:color w:val="auto"/>
          <w:sz w:val="24"/>
        </w:rPr>
        <w:t>2017年，教育部考试中心下发了《国家教育考试综合管理平台建设指南》，明确提出“考点部署无线电防作弊设备，侦测可疑信号和作弊信号，并进行阻断和提示，同时将可疑信号和作弊信号信息通过互联网（专线）传送至决策指挥系统”。</w:t>
      </w:r>
    </w:p>
    <w:p>
      <w:pPr>
        <w:spacing w:line="360" w:lineRule="auto"/>
        <w:ind w:firstLine="420"/>
        <w:rPr>
          <w:rFonts w:hint="eastAsia" w:ascii="宋体" w:hAnsi="宋体" w:cs="仿宋"/>
          <w:color w:val="auto"/>
          <w:sz w:val="24"/>
        </w:rPr>
      </w:pPr>
      <w:r>
        <w:rPr>
          <w:rFonts w:hint="eastAsia" w:ascii="宋体" w:hAnsi="宋体" w:cs="仿宋"/>
          <w:color w:val="auto"/>
          <w:sz w:val="24"/>
        </w:rPr>
        <w:t>《教育部第33号令》第十九条明确规定：考试工作人员通过视频发现考生有违纪、作弊行为的，应当立即通知在现场的考试工作人员，并应当将视频录像作为证据保存。教育考试机构可以通过视频录像回放，对所涉及考生违规行为进行认定。</w:t>
      </w:r>
    </w:p>
    <w:p>
      <w:pPr>
        <w:spacing w:line="360" w:lineRule="auto"/>
        <w:ind w:firstLine="420"/>
        <w:rPr>
          <w:rFonts w:hint="eastAsia" w:ascii="宋体" w:hAnsi="宋体" w:cs="仿宋"/>
          <w:color w:val="auto"/>
          <w:sz w:val="24"/>
        </w:rPr>
      </w:pPr>
      <w:r>
        <w:rPr>
          <w:rFonts w:hint="eastAsia" w:ascii="宋体" w:hAnsi="宋体" w:cs="仿宋"/>
          <w:color w:val="auto"/>
          <w:sz w:val="24"/>
        </w:rPr>
        <w:t>2022年10月8日教育部教育考试院召开全国教育考试安全工作会，考试院孙海波书记提出了“1+6”综合施策方案，以强化综合施策，确保考场安全。其中“1”是指完善5G信号屏蔽，“6”是指人防和技防的6项措施，人防方面推行考点手机统一管理，技防方面强化入场安检技防措施，各地要积极配备智能安检门，着手试点考场监考员违规行为人工智能识别，充分发挥视频监控系统功能。</w:t>
      </w:r>
    </w:p>
    <w:p>
      <w:pPr>
        <w:spacing w:line="360" w:lineRule="auto"/>
        <w:ind w:firstLine="420"/>
        <w:rPr>
          <w:rFonts w:hint="eastAsia" w:ascii="宋体" w:hAnsi="宋体" w:cs="仿宋"/>
          <w:color w:val="auto"/>
          <w:sz w:val="24"/>
        </w:rPr>
      </w:pPr>
      <w:r>
        <w:rPr>
          <w:rFonts w:hint="eastAsia" w:ascii="宋体" w:hAnsi="宋体" w:cs="仿宋"/>
          <w:color w:val="auto"/>
          <w:sz w:val="24"/>
        </w:rPr>
        <w:t>《中共四川省教育考试院委员会四川省教育考试院2023年工作要点》第18条：加强监考巡考工作，</w:t>
      </w:r>
      <w:bookmarkStart w:id="3" w:name="_Hlk131242642"/>
      <w:r>
        <w:rPr>
          <w:rFonts w:hint="eastAsia" w:ascii="宋体" w:hAnsi="宋体" w:cs="仿宋"/>
          <w:color w:val="auto"/>
          <w:sz w:val="24"/>
        </w:rPr>
        <w:t>严格执行</w:t>
      </w:r>
      <w:bookmarkStart w:id="4" w:name="_Hlk131242611"/>
      <w:r>
        <w:rPr>
          <w:rFonts w:hint="eastAsia" w:ascii="宋体" w:hAnsi="宋体" w:cs="仿宋"/>
          <w:color w:val="auto"/>
          <w:sz w:val="24"/>
        </w:rPr>
        <w:t>考场视频回放制度</w:t>
      </w:r>
      <w:bookmarkEnd w:id="3"/>
      <w:bookmarkEnd w:id="4"/>
      <w:r>
        <w:rPr>
          <w:rFonts w:hint="eastAsia" w:ascii="宋体" w:hAnsi="宋体" w:cs="仿宋"/>
          <w:color w:val="auto"/>
          <w:sz w:val="24"/>
        </w:rPr>
        <w:t>，严查违规违纪行为。开展手机作弊专项治理，加强考点无线电信号屏蔽设备配备，实行考点集中存放手机管理，鼓励各地积极配备“智能安检门”。加强网络安全综合治理能力建设，健全数据安全组织架构，健全数据安全管理办法，全面提升监测预警、风险评估和应对处置能力。</w:t>
      </w:r>
    </w:p>
    <w:p>
      <w:pPr>
        <w:spacing w:line="360" w:lineRule="auto"/>
        <w:ind w:firstLine="420"/>
        <w:rPr>
          <w:rFonts w:hint="eastAsia" w:ascii="宋体" w:hAnsi="宋体" w:cs="仿宋"/>
          <w:color w:val="auto"/>
          <w:sz w:val="24"/>
        </w:rPr>
      </w:pPr>
      <w:r>
        <w:rPr>
          <w:rFonts w:hint="eastAsia" w:ascii="宋体" w:hAnsi="宋体" w:cs="仿宋"/>
          <w:color w:val="auto"/>
          <w:sz w:val="24"/>
        </w:rPr>
        <w:t>《四川省高等教育招生考试委员会 关于做好我省2024年全国硕士研究生招生考试智能安检门配备工作的通知》川招考委〔2023〕56 号要求，我省2024年研招考试要实现智能安检门全配备，全力确保 2024 年研招考试安全平稳顺利实施。</w:t>
      </w:r>
    </w:p>
    <w:p>
      <w:pPr>
        <w:spacing w:line="360" w:lineRule="auto"/>
        <w:ind w:firstLine="420"/>
        <w:rPr>
          <w:rFonts w:hint="eastAsia" w:ascii="宋体" w:hAnsi="宋体" w:cs="仿宋"/>
          <w:color w:val="auto"/>
          <w:sz w:val="24"/>
        </w:rPr>
      </w:pPr>
      <w:r>
        <w:rPr>
          <w:rFonts w:hint="eastAsia" w:ascii="宋体" w:hAnsi="宋体" w:cs="仿宋"/>
          <w:color w:val="auto"/>
          <w:sz w:val="24"/>
        </w:rPr>
        <w:t>教育考试是衡量学生学习成果和素质的重要方式，也是选拔人才和评价教育质量的重要依据。为了保证教育考试的公平、公正，保障广大考生的合法权益，维护教育考试的权威性和信誉度，教育部门和考试机构开展手机作弊专项治理工作，加强国家教育考试智能安防体系综合治理能力建设，健全数据安全组织架构，健全数据安全管理办法，全面提升监测预警、风险评估和应对处置能力。</w:t>
      </w:r>
    </w:p>
    <w:p>
      <w:pPr>
        <w:spacing w:line="360" w:lineRule="auto"/>
        <w:ind w:firstLine="420"/>
        <w:rPr>
          <w:rFonts w:hint="eastAsia" w:ascii="宋体" w:hAnsi="宋体" w:cs="仿宋"/>
          <w:color w:val="auto"/>
          <w:sz w:val="24"/>
        </w:rPr>
      </w:pPr>
      <w:bookmarkStart w:id="5" w:name="_Toc131020215"/>
      <w:bookmarkStart w:id="6" w:name="_Toc5585"/>
      <w:bookmarkStart w:id="7" w:name="_Toc131275489"/>
      <w:r>
        <w:rPr>
          <w:rFonts w:hint="eastAsia" w:ascii="宋体" w:hAnsi="宋体" w:cs="仿宋"/>
          <w:color w:val="auto"/>
          <w:sz w:val="24"/>
          <w:lang w:eastAsia="zh-CN"/>
        </w:rPr>
        <w:t>一、</w:t>
      </w:r>
      <w:r>
        <w:rPr>
          <w:rFonts w:hint="eastAsia" w:ascii="宋体" w:hAnsi="宋体" w:cs="仿宋"/>
          <w:color w:val="auto"/>
          <w:sz w:val="24"/>
        </w:rPr>
        <w:t>现状</w:t>
      </w:r>
      <w:bookmarkEnd w:id="5"/>
      <w:bookmarkEnd w:id="6"/>
      <w:bookmarkEnd w:id="7"/>
    </w:p>
    <w:p>
      <w:pPr>
        <w:spacing w:line="360" w:lineRule="auto"/>
        <w:ind w:firstLine="420"/>
        <w:rPr>
          <w:rFonts w:hint="eastAsia" w:ascii="宋体" w:hAnsi="宋体" w:cs="仿宋"/>
          <w:color w:val="auto"/>
          <w:sz w:val="24"/>
        </w:rPr>
      </w:pPr>
      <w:r>
        <w:rPr>
          <w:rFonts w:hint="eastAsia" w:ascii="宋体" w:hAnsi="宋体" w:cs="仿宋"/>
          <w:color w:val="auto"/>
          <w:sz w:val="24"/>
        </w:rPr>
        <w:t>考试手机作弊是一种严重的违纪违法行为，不仅损害了考试的公平公正，也影响了考生的学习积极性和素质培养，更可能造成社会的不良影响和信任危机。为了有效地预防和打击考试手机作弊，开展手机作弊专项治理工作，充分利用考前安检数据、考中技术防范、考后回查等管控措施，对考试全过程进行安全防范和管理，实现考前、考中、考后相关考试数据的联动和共享，形成一体化监察、回溯机制。</w:t>
      </w:r>
    </w:p>
    <w:p>
      <w:pPr>
        <w:spacing w:line="360" w:lineRule="auto"/>
        <w:ind w:firstLine="420"/>
        <w:rPr>
          <w:rFonts w:hint="eastAsia" w:ascii="宋体" w:hAnsi="宋体" w:cs="仿宋"/>
          <w:color w:val="auto"/>
          <w:sz w:val="24"/>
        </w:rPr>
      </w:pPr>
      <w:r>
        <w:rPr>
          <w:rFonts w:hint="eastAsia" w:ascii="宋体" w:hAnsi="宋体" w:cs="仿宋"/>
          <w:color w:val="auto"/>
          <w:sz w:val="24"/>
          <w:lang w:eastAsia="zh-CN"/>
        </w:rPr>
        <w:t>我校</w:t>
      </w:r>
      <w:r>
        <w:rPr>
          <w:rFonts w:hint="eastAsia" w:ascii="宋体" w:hAnsi="宋体" w:cs="仿宋"/>
          <w:color w:val="auto"/>
          <w:sz w:val="24"/>
        </w:rPr>
        <w:t>为了加强国家教育考试管理，已完成标准化考场建设，主要以网上巡查系统为主，纵向往应急指挥系统、身份认证系统、作弊防控系统、视频及网络监控系统等扩展。</w:t>
      </w:r>
    </w:p>
    <w:p>
      <w:pPr>
        <w:spacing w:line="360" w:lineRule="auto"/>
        <w:ind w:firstLine="420"/>
        <w:rPr>
          <w:rFonts w:hint="eastAsia" w:ascii="宋体" w:hAnsi="宋体" w:cs="仿宋"/>
          <w:color w:val="auto"/>
          <w:sz w:val="24"/>
        </w:rPr>
      </w:pPr>
      <w:r>
        <w:rPr>
          <w:rFonts w:hint="eastAsia" w:ascii="宋体" w:hAnsi="宋体" w:cs="仿宋"/>
          <w:color w:val="auto"/>
          <w:sz w:val="24"/>
        </w:rPr>
        <w:t>目前国家在鼓励应用的技术手段有智能安检门、信号屏蔽、人工智能（AI）行为分析等，一是提前制止考生携带手机等电子设备进入考场，降低考生作弊的风险，提高考生入场安检效率；二是有效阻断手机等电子设备的通信功能，切断作弊信息的传输；同时通过人工智能（AI）行为分析，对考试实时视频图像数据进行深度挖掘和应用，发现作弊规律和特征，为考试改进和决策提供依据。</w:t>
      </w:r>
    </w:p>
    <w:p>
      <w:pPr>
        <w:spacing w:line="360" w:lineRule="auto"/>
        <w:ind w:firstLine="420"/>
        <w:rPr>
          <w:rFonts w:hint="eastAsia" w:ascii="宋体" w:hAnsi="宋体" w:cs="仿宋"/>
          <w:color w:val="auto"/>
          <w:sz w:val="24"/>
        </w:rPr>
      </w:pPr>
      <w:bookmarkStart w:id="8" w:name="_Toc131020217"/>
      <w:bookmarkStart w:id="9" w:name="_Toc32526"/>
      <w:bookmarkStart w:id="10" w:name="_Toc123489278"/>
      <w:bookmarkStart w:id="11" w:name="_Toc131275490"/>
      <w:r>
        <w:rPr>
          <w:rFonts w:hint="eastAsia" w:ascii="宋体" w:hAnsi="宋体" w:cs="仿宋"/>
          <w:color w:val="auto"/>
          <w:sz w:val="24"/>
          <w:lang w:eastAsia="zh-CN"/>
        </w:rPr>
        <w:t>二、</w:t>
      </w:r>
      <w:r>
        <w:rPr>
          <w:rFonts w:hint="eastAsia" w:ascii="宋体" w:hAnsi="宋体" w:cs="仿宋"/>
          <w:color w:val="auto"/>
          <w:sz w:val="24"/>
        </w:rPr>
        <w:t>目标</w:t>
      </w:r>
      <w:bookmarkEnd w:id="8"/>
      <w:bookmarkEnd w:id="9"/>
      <w:bookmarkEnd w:id="10"/>
      <w:bookmarkEnd w:id="11"/>
    </w:p>
    <w:p>
      <w:pPr>
        <w:spacing w:line="360" w:lineRule="auto"/>
        <w:ind w:firstLine="420"/>
        <w:rPr>
          <w:rFonts w:hint="eastAsia" w:ascii="宋体" w:hAnsi="宋体" w:cs="仿宋"/>
          <w:color w:val="auto"/>
          <w:sz w:val="24"/>
        </w:rPr>
      </w:pPr>
      <w:r>
        <w:rPr>
          <w:rFonts w:hint="eastAsia" w:ascii="宋体" w:hAnsi="宋体" w:cs="仿宋"/>
          <w:color w:val="auto"/>
          <w:sz w:val="24"/>
        </w:rPr>
        <w:t>国家教育考试智能安防体系将有效地监测和阻止各种形式的作弊行为，实现电子作弊器材、手机等考试违禁物品“带不进”、“发不出”、“用不了”、“跑不掉”的建设目标，有效打击震慑考试作弊违法行为，保障考试的公信力和质量。而且能够收集和分析考试数据，为教育改革和发展提供有力的支撑，最终实现标准化全面考试防作弊流程。具体措施如下：</w:t>
      </w:r>
    </w:p>
    <w:p>
      <w:pPr>
        <w:spacing w:line="360" w:lineRule="auto"/>
        <w:ind w:firstLine="420"/>
        <w:rPr>
          <w:rFonts w:hint="eastAsia" w:ascii="宋体" w:hAnsi="宋体" w:cs="仿宋"/>
          <w:color w:val="auto"/>
          <w:sz w:val="24"/>
        </w:rPr>
      </w:pPr>
      <w:r>
        <w:rPr>
          <w:rFonts w:hint="eastAsia" w:ascii="宋体" w:hAnsi="宋体" w:cs="仿宋"/>
          <w:color w:val="auto"/>
          <w:sz w:val="24"/>
        </w:rPr>
        <w:t>通过智能安检门辨别金属物品的电磁身份特征，判断被检测人员所携带的电子作弊器材、手机等违禁品，提高考试的安检效率，保障考试的顺利进行，实现考试违禁物品“带不进”的建设目标。</w:t>
      </w:r>
    </w:p>
    <w:p>
      <w:pPr>
        <w:spacing w:line="360" w:lineRule="auto"/>
        <w:ind w:firstLine="420"/>
        <w:rPr>
          <w:rFonts w:hint="eastAsia" w:ascii="宋体" w:hAnsi="宋体" w:cs="仿宋"/>
          <w:color w:val="auto"/>
          <w:sz w:val="24"/>
        </w:rPr>
      </w:pPr>
      <w:r>
        <w:rPr>
          <w:rFonts w:hint="eastAsia" w:ascii="宋体" w:hAnsi="宋体" w:cs="仿宋"/>
          <w:color w:val="auto"/>
          <w:sz w:val="24"/>
        </w:rPr>
        <w:t>通过手机信号屏蔽器对考场内无线信号的屏蔽，提高考试的标准化水平，保障考试的公平、公正。二是通过考试异常行为实时分析系统对考场视频实时分析，提高考试的规范化和智能化管理水平，同时实现考试电子违禁物品“发不出”、“用不了”的建设目标。</w:t>
      </w:r>
    </w:p>
    <w:p>
      <w:pPr>
        <w:adjustRightInd w:val="0"/>
        <w:snapToGrid w:val="0"/>
        <w:spacing w:line="360" w:lineRule="auto"/>
        <w:ind w:firstLine="482" w:firstLineChars="200"/>
        <w:rPr>
          <w:rFonts w:hint="eastAsia" w:ascii="Arial" w:hAnsi="Arial" w:cs="仿宋"/>
          <w:bCs/>
          <w:color w:val="auto"/>
          <w:kern w:val="0"/>
          <w:sz w:val="24"/>
        </w:rPr>
      </w:pPr>
      <w:r>
        <w:rPr>
          <w:rFonts w:hint="eastAsia" w:ascii="Arial" w:hAnsi="Arial" w:cs="仿宋"/>
          <w:b/>
          <w:color w:val="auto"/>
          <w:kern w:val="0"/>
          <w:sz w:val="24"/>
        </w:rPr>
        <w:t>二、资金情况：</w:t>
      </w:r>
      <w:r>
        <w:rPr>
          <w:rFonts w:hint="eastAsia" w:ascii="Arial" w:hAnsi="Arial" w:cs="仿宋"/>
          <w:bCs/>
          <w:color w:val="auto"/>
          <w:kern w:val="0"/>
          <w:sz w:val="24"/>
        </w:rPr>
        <w:t>本项目经费预算为</w:t>
      </w:r>
      <w:r>
        <w:rPr>
          <w:rFonts w:hint="eastAsia" w:ascii="Arial" w:hAnsi="Arial" w:cs="仿宋"/>
          <w:bCs/>
          <w:color w:val="auto"/>
          <w:kern w:val="0"/>
          <w:sz w:val="24"/>
          <w:lang w:val="en-US" w:eastAsia="zh-CN"/>
        </w:rPr>
        <w:t>5.76万</w:t>
      </w:r>
      <w:r>
        <w:rPr>
          <w:rFonts w:hint="eastAsia" w:ascii="Arial" w:hAnsi="Arial" w:cs="仿宋"/>
          <w:bCs/>
          <w:color w:val="auto"/>
          <w:kern w:val="0"/>
          <w:sz w:val="24"/>
        </w:rPr>
        <w:t>元。</w:t>
      </w:r>
    </w:p>
    <w:p>
      <w:pPr>
        <w:adjustRightInd w:val="0"/>
        <w:snapToGrid w:val="0"/>
        <w:spacing w:line="360" w:lineRule="auto"/>
        <w:ind w:firstLine="482" w:firstLineChars="200"/>
        <w:rPr>
          <w:rFonts w:hint="eastAsia" w:ascii="Arial" w:hAnsi="Arial" w:eastAsia="宋体" w:cs="仿宋"/>
          <w:bCs/>
          <w:color w:val="auto"/>
          <w:kern w:val="0"/>
          <w:sz w:val="24"/>
          <w:lang w:eastAsia="zh-CN"/>
        </w:rPr>
      </w:pPr>
      <w:r>
        <w:rPr>
          <w:rFonts w:hint="eastAsia" w:ascii="宋体"/>
          <w:b/>
          <w:bCs/>
          <w:color w:val="auto"/>
          <w:kern w:val="0"/>
          <w:sz w:val="24"/>
        </w:rPr>
        <w:t>三、技术要求</w:t>
      </w:r>
      <w:r>
        <w:rPr>
          <w:rFonts w:hint="eastAsia" w:ascii="宋体"/>
          <w:b/>
          <w:bCs/>
          <w:color w:val="auto"/>
          <w:kern w:val="0"/>
          <w:sz w:val="24"/>
          <w:lang w:eastAsia="zh-CN"/>
        </w:rPr>
        <w:t>：</w:t>
      </w:r>
    </w:p>
    <w:tbl>
      <w:tblPr>
        <w:tblStyle w:val="30"/>
        <w:tblW w:w="9993" w:type="dxa"/>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861"/>
        <w:gridCol w:w="7616"/>
        <w:gridCol w:w="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eastAsia="宋体" w:cs="宋体"/>
                <w:b/>
                <w:bCs/>
                <w:i w:val="0"/>
                <w:iCs w:val="0"/>
                <w:color w:val="auto"/>
                <w:sz w:val="24"/>
                <w:szCs w:val="24"/>
                <w:u w:val="none"/>
                <w:shd w:val="clear" w:color="auto" w:fill="auto"/>
                <w:lang w:val="en-US" w:eastAsia="zh-CN"/>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761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9"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cs="宋体"/>
                <w:b/>
                <w:bCs/>
                <w:i w:val="0"/>
                <w:iCs w:val="0"/>
                <w:color w:val="auto"/>
                <w:kern w:val="0"/>
                <w:sz w:val="22"/>
                <w:szCs w:val="22"/>
                <w:u w:val="none"/>
                <w:shd w:val="clear" w:color="auto" w:fill="auto"/>
                <w:lang w:val="en-US" w:eastAsia="zh-CN" w:bidi="ar"/>
              </w:rPr>
              <w:t>智能安检门（</w:t>
            </w:r>
            <w:r>
              <w:rPr>
                <w:rFonts w:hint="eastAsia" w:ascii="宋体" w:hAnsi="宋体" w:eastAsia="宋体" w:cs="宋体"/>
                <w:i w:val="0"/>
                <w:iCs w:val="0"/>
                <w:color w:val="000000"/>
                <w:kern w:val="0"/>
                <w:sz w:val="32"/>
                <w:szCs w:val="32"/>
                <w:u w:val="none"/>
                <w:lang w:val="en-US" w:eastAsia="zh-CN" w:bidi="ar"/>
              </w:rPr>
              <w:t>HD-2000</w:t>
            </w:r>
            <w:r>
              <w:rPr>
                <w:rFonts w:hint="eastAsia" w:ascii="宋体" w:hAnsi="宋体" w:cs="宋体"/>
                <w:b/>
                <w:bCs/>
                <w:i w:val="0"/>
                <w:iCs w:val="0"/>
                <w:color w:val="auto"/>
                <w:kern w:val="0"/>
                <w:sz w:val="22"/>
                <w:szCs w:val="22"/>
                <w:u w:val="none"/>
                <w:shd w:val="clear" w:color="auto" w:fill="auto"/>
                <w:lang w:val="en-US" w:eastAsia="zh-CN" w:bidi="ar"/>
              </w:rPr>
              <w:t>）</w:t>
            </w:r>
          </w:p>
        </w:tc>
        <w:tc>
          <w:tcPr>
            <w:tcW w:w="7616" w:type="dxa"/>
            <w:tcBorders>
              <w:top w:val="single" w:color="000000" w:sz="4" w:space="0"/>
              <w:left w:val="single" w:color="000000" w:sz="4" w:space="0"/>
              <w:bottom w:val="single" w:color="000000" w:sz="4" w:space="0"/>
              <w:right w:val="single" w:color="000000" w:sz="4" w:space="0"/>
            </w:tcBorders>
            <w:noWrap w:val="0"/>
            <w:vAlign w:val="center"/>
          </w:tcPr>
          <w:p>
            <w:pPr>
              <w:pStyle w:val="4"/>
              <w:spacing w:after="0"/>
              <w:ind w:right="210"/>
              <w:jc w:val="left"/>
              <w:rPr>
                <w:sz w:val="22"/>
                <w:szCs w:val="22"/>
              </w:rPr>
            </w:pPr>
            <w:bookmarkStart w:id="12" w:name="_Toc7774"/>
            <w:bookmarkStart w:id="13" w:name="_Toc131275493"/>
            <w:r>
              <w:rPr>
                <w:rFonts w:hint="eastAsia"/>
                <w:sz w:val="22"/>
                <w:szCs w:val="22"/>
              </w:rPr>
              <w:t>智能安检门简介</w:t>
            </w:r>
            <w:bookmarkEnd w:id="12"/>
            <w:bookmarkEnd w:id="13"/>
          </w:p>
          <w:p>
            <w:pPr>
              <w:spacing w:line="360" w:lineRule="auto"/>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智能安检门的工作原理是金属通过交变的电磁场时，产生感应信号，通过算法，获取金属材质及形状信息，根据材质及形状信息判断物品是否为手机等违规物品。该设备可在对考试允许贴身携带的日常金属物品不报警的基础上，检测到处于开机或者关机状态</w:t>
            </w:r>
            <w:r>
              <w:rPr>
                <w:rFonts w:ascii="宋体" w:hAnsi="宋体" w:eastAsia="宋体"/>
                <w:color w:val="000000" w:themeColor="text1"/>
                <w:szCs w:val="21"/>
                <w14:textFill>
                  <w14:solidFill>
                    <w14:schemeClr w14:val="tx1"/>
                  </w14:solidFill>
                </w14:textFill>
              </w:rPr>
              <w:t>(含移除电池、移除 SIM卡)的手机、笔记本、数码相机摄像机等电子产品并进行定位。智能安检门配置了液晶触摸屏,可显示通过人数、报警人数、报警物品类别、报警物品所在人体虚拟区位等信息。通过液晶显示屏对报警物品类别进行文字图像提示，告知电子产品藏匿的虚拟人形区位，方便安检人员检查。</w:t>
            </w:r>
          </w:p>
          <w:p>
            <w:pPr>
              <w:pStyle w:val="4"/>
              <w:spacing w:after="0"/>
              <w:ind w:right="210"/>
              <w:rPr>
                <w:rFonts w:hint="eastAsia"/>
                <w:sz w:val="22"/>
                <w:szCs w:val="22"/>
              </w:rPr>
            </w:pPr>
            <w:bookmarkStart w:id="14" w:name="_Toc131275494"/>
            <w:bookmarkStart w:id="15" w:name="_Toc6099"/>
            <w:r>
              <w:rPr>
                <w:rFonts w:hint="eastAsia"/>
                <w:sz w:val="22"/>
                <w:szCs w:val="22"/>
              </w:rPr>
              <w:t>安检门配置安装</w:t>
            </w:r>
            <w:bookmarkEnd w:id="14"/>
            <w:bookmarkEnd w:id="15"/>
          </w:p>
          <w:p>
            <w:pPr>
              <w:spacing w:line="360" w:lineRule="auto"/>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各考点按照</w:t>
            </w:r>
            <w:r>
              <w:rPr>
                <w:rFonts w:ascii="宋体" w:hAnsi="宋体" w:eastAsia="宋体"/>
                <w:color w:val="000000" w:themeColor="text1"/>
                <w:szCs w:val="21"/>
                <w14:textFill>
                  <w14:solidFill>
                    <w14:schemeClr w14:val="tx1"/>
                  </w14:solidFill>
                </w14:textFill>
              </w:rPr>
              <w:t>600-750人/门的数量配备智能安检门，安装在第一次人工安检通道后，隔出适当距离。安检门周围3米内无电梯、LED广告板、金属门等大型金属干扰物；两侧1米内无金属桌</w:t>
            </w:r>
            <w:r>
              <w:rPr>
                <w:rFonts w:hint="eastAsia" w:ascii="宋体" w:hAnsi="宋体" w:eastAsia="宋体"/>
                <w:color w:val="000000" w:themeColor="text1"/>
                <w:szCs w:val="21"/>
                <w14:textFill>
                  <w14:solidFill>
                    <w14:schemeClr w14:val="tx1"/>
                  </w14:solidFill>
                </w14:textFill>
              </w:rPr>
              <w:t>椅、金属门框、手机屏蔽仪等物品干扰</w:t>
            </w:r>
            <w:r>
              <w:rPr>
                <w:rFonts w:ascii="宋体" w:hAnsi="宋体" w:eastAsia="宋体"/>
                <w:color w:val="000000" w:themeColor="text1"/>
                <w:szCs w:val="21"/>
                <w14:textFill>
                  <w14:solidFill>
                    <w14:schemeClr w14:val="tx1"/>
                  </w14:solidFill>
                </w14:textFill>
              </w:rPr>
              <w:t>；有条件的可配备UPS供电。设备固定安全可靠，大风情况下周围无金属物晃动。如遇雨雪天气，建议将智能安检门转移至室内。安检全程应在监控下进行，确保发现问题可追溯。</w:t>
            </w:r>
          </w:p>
          <w:p>
            <w:pPr>
              <w:spacing w:line="360" w:lineRule="auto"/>
              <w:ind w:firstLine="142"/>
              <w:rPr>
                <w:rFonts w:ascii="宋体" w:hAnsi="宋体" w:eastAsia="宋体"/>
                <w:color w:val="000000" w:themeColor="text1"/>
                <w:sz w:val="18"/>
                <w:szCs w:val="18"/>
                <w14:textFill>
                  <w14:solidFill>
                    <w14:schemeClr w14:val="tx1"/>
                  </w14:solidFill>
                </w14:textFill>
              </w:rPr>
            </w:pPr>
            <w:r>
              <w:rPr>
                <w:rFonts w:ascii="宋体" w:hAnsi="宋体" w:eastAsia="宋体"/>
              </w:rPr>
              <w:drawing>
                <wp:inline distT="0" distB="0" distL="0" distR="0">
                  <wp:extent cx="4761230" cy="2621915"/>
                  <wp:effectExtent l="0" t="0" r="127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t="5319" b="2881"/>
                          <a:stretch>
                            <a:fillRect/>
                          </a:stretch>
                        </pic:blipFill>
                        <pic:spPr>
                          <a:xfrm>
                            <a:off x="0" y="0"/>
                            <a:ext cx="4761230" cy="2621915"/>
                          </a:xfrm>
                          <a:prstGeom prst="rect">
                            <a:avLst/>
                          </a:prstGeom>
                          <a:noFill/>
                          <a:ln>
                            <a:noFill/>
                          </a:ln>
                        </pic:spPr>
                      </pic:pic>
                    </a:graphicData>
                  </a:graphic>
                </wp:inline>
              </w:drawing>
            </w:r>
          </w:p>
          <w:p>
            <w:pPr>
              <w:spacing w:line="360" w:lineRule="auto"/>
              <w:ind w:firstLine="480"/>
              <w:jc w:val="center"/>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 xml:space="preserve">图 </w:t>
            </w:r>
            <w:r>
              <w:rPr>
                <w:rFonts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14:textFill>
                  <w14:solidFill>
                    <w14:schemeClr w14:val="tx1"/>
                  </w14:solidFill>
                </w14:textFill>
              </w:rPr>
              <w:t>智能安检门安装示意图（建议，以实际为准）</w:t>
            </w:r>
          </w:p>
          <w:p>
            <w:pPr>
              <w:pStyle w:val="4"/>
              <w:spacing w:after="0"/>
              <w:ind w:right="210"/>
              <w:rPr>
                <w:rFonts w:hint="eastAsia"/>
                <w:sz w:val="22"/>
                <w:szCs w:val="22"/>
              </w:rPr>
            </w:pPr>
            <w:bookmarkStart w:id="16" w:name="_Toc131275495"/>
            <w:bookmarkStart w:id="17" w:name="_Toc29273"/>
            <w:bookmarkStart w:id="18" w:name="_Toc124172842"/>
            <w:r>
              <w:rPr>
                <w:rFonts w:hint="eastAsia"/>
                <w:sz w:val="22"/>
                <w:szCs w:val="22"/>
              </w:rPr>
              <w:t>安检门功能介绍</w:t>
            </w:r>
            <w:bookmarkEnd w:id="16"/>
            <w:bookmarkEnd w:id="17"/>
            <w:bookmarkEnd w:id="18"/>
          </w:p>
          <w:p>
            <w:pPr>
              <w:pStyle w:val="4"/>
              <w:spacing w:after="0"/>
              <w:ind w:right="210"/>
              <w:rPr>
                <w:rFonts w:hint="eastAsia"/>
                <w:sz w:val="22"/>
                <w:szCs w:val="22"/>
              </w:rPr>
            </w:pPr>
            <w:r>
              <w:rPr>
                <w:rFonts w:hint="eastAsia"/>
                <w:sz w:val="22"/>
                <w:szCs w:val="22"/>
              </w:rPr>
              <w:t>检测范围</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智能安检门具有电子产品探测模式、违禁品探测模式、电子产品和违禁品探测模式和全金属探测模式，根据需要进行自由切换,满足多种场景使用。</w:t>
            </w:r>
          </w:p>
          <w:p>
            <w:pPr>
              <w:spacing w:line="360" w:lineRule="auto"/>
              <w:ind w:firstLine="422"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电子产品探测模式：</w:t>
            </w:r>
            <w:r>
              <w:rPr>
                <w:rFonts w:hint="eastAsia" w:ascii="宋体" w:hAnsi="宋体" w:eastAsia="宋体" w:cs="宋体"/>
                <w:color w:val="000000" w:themeColor="text1"/>
                <w:szCs w:val="21"/>
                <w14:textFill>
                  <w14:solidFill>
                    <w14:schemeClr w14:val="tx1"/>
                  </w14:solidFill>
                </w14:textFill>
              </w:rPr>
              <w:t>电子产品探测模式可有效检测手机、Ipad、笔记本电脑等相关电子产品，一旦发现异常情况立即声光报警，并通过文字和虚拟人形区位提示藏匿物品种类和位置。无论手机处于待机、关机，开机、移除电池、移除SIM卡等任何状态，智能安检门都能探测到，对手机及其他金属违禁品的探测率≥9</w:t>
            </w:r>
            <w:r>
              <w:rPr>
                <w:rFonts w:ascii="宋体" w:hAnsi="宋体" w:eastAsia="宋体" w:cs="宋体"/>
                <w:color w:val="000000" w:themeColor="text1"/>
                <w:szCs w:val="21"/>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w:t>
            </w:r>
          </w:p>
          <w:p>
            <w:pPr>
              <w:spacing w:line="360" w:lineRule="auto"/>
              <w:ind w:firstLine="422" w:firstLineChars="200"/>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违禁品探测模式：</w:t>
            </w:r>
            <w:r>
              <w:rPr>
                <w:rFonts w:hint="eastAsia" w:ascii="宋体" w:hAnsi="宋体" w:eastAsia="宋体" w:cs="宋体"/>
                <w:color w:val="000000" w:themeColor="text1"/>
                <w:szCs w:val="21"/>
                <w14:textFill>
                  <w14:solidFill>
                    <w14:schemeClr w14:val="tx1"/>
                  </w14:solidFill>
                </w14:textFill>
              </w:rPr>
              <w:t>违禁品探测模式能有效检测刀枪等金属违禁物品，一旦发现异常情况立即声光报警，并以文字和虚拟人形区位提示藏匿物品种类和位置。</w:t>
            </w:r>
          </w:p>
          <w:p>
            <w:pPr>
              <w:spacing w:line="360" w:lineRule="auto"/>
              <w:ind w:firstLine="422"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电子产品+违禁品探测模式：</w:t>
            </w:r>
            <w:r>
              <w:rPr>
                <w:rFonts w:hint="eastAsia" w:ascii="宋体" w:hAnsi="宋体" w:eastAsia="宋体" w:cs="宋体"/>
                <w:color w:val="000000" w:themeColor="text1"/>
                <w:szCs w:val="21"/>
                <w14:textFill>
                  <w14:solidFill>
                    <w14:schemeClr w14:val="tx1"/>
                  </w14:solidFill>
                </w14:textFill>
              </w:rPr>
              <w:t>电子产品+违禁品探测模式可同时对上述电子产品探测模式和违禁品探测模式的物品进行探测，发现异常立即进行声光报警，并以虚拟人形区位提示报警物品种类和藏匿位置。</w:t>
            </w:r>
          </w:p>
          <w:p>
            <w:pPr>
              <w:spacing w:line="360" w:lineRule="auto"/>
              <w:ind w:firstLine="422"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全金属探测模式：</w:t>
            </w:r>
            <w:r>
              <w:rPr>
                <w:rFonts w:hint="eastAsia" w:ascii="宋体" w:hAnsi="宋体" w:eastAsia="宋体" w:cs="宋体"/>
                <w:color w:val="000000" w:themeColor="text1"/>
                <w:szCs w:val="21"/>
                <w14:textFill>
                  <w14:solidFill>
                    <w14:schemeClr w14:val="tx1"/>
                  </w14:solidFill>
                </w14:textFill>
              </w:rPr>
              <w:t>全金属探测模式用于小刀、钥匙串、螺丝刀等金属物品检测，并进行声光报警，并以虚拟人形区位提示报警物品种类和藏匿位置。</w:t>
            </w:r>
          </w:p>
          <w:p>
            <w:pPr>
              <w:pStyle w:val="4"/>
              <w:spacing w:after="0"/>
              <w:ind w:right="210"/>
              <w:rPr>
                <w:rFonts w:hint="eastAsia"/>
                <w:sz w:val="22"/>
                <w:szCs w:val="22"/>
              </w:rPr>
            </w:pPr>
            <w:r>
              <w:rPr>
                <w:rFonts w:hint="eastAsia"/>
                <w:sz w:val="22"/>
                <w:szCs w:val="22"/>
              </w:rPr>
              <w:t>产品特点</w:t>
            </w:r>
          </w:p>
          <w:p>
            <w:pPr>
              <w:pStyle w:val="95"/>
              <w:spacing w:line="360" w:lineRule="auto"/>
              <w:ind w:left="482"/>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多种探测模式切换：</w:t>
            </w:r>
            <w:r>
              <w:rPr>
                <w:rFonts w:hint="eastAsia" w:ascii="宋体" w:hAnsi="宋体"/>
                <w:color w:val="000000" w:themeColor="text1"/>
                <w:szCs w:val="21"/>
                <w14:textFill>
                  <w14:solidFill>
                    <w14:schemeClr w14:val="tx1"/>
                  </w14:solidFill>
                </w14:textFill>
              </w:rPr>
              <w:t>具备电子产品探测模式、电子产品+违禁品探测模式、违禁品探测模式和全金属探测模式，满足多种场景使用。</w:t>
            </w:r>
          </w:p>
          <w:p>
            <w:pPr>
              <w:pStyle w:val="95"/>
              <w:spacing w:line="360" w:lineRule="auto"/>
              <w:ind w:left="482"/>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精准探测：</w:t>
            </w:r>
            <w:r>
              <w:rPr>
                <w:rFonts w:hint="eastAsia" w:ascii="宋体" w:hAnsi="宋体"/>
                <w:color w:val="000000" w:themeColor="text1"/>
                <w:szCs w:val="21"/>
                <w14:textFill>
                  <w14:solidFill>
                    <w14:schemeClr w14:val="tx1"/>
                  </w14:solidFill>
                </w14:textFill>
              </w:rPr>
              <w:t>探测单元</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个以上，能精准检测出手机、笔记本电脑、iPad以及同类电子产品，并通过文字和虚拟人形区位提示藏匿物品种类和位置。</w:t>
            </w:r>
          </w:p>
          <w:p>
            <w:pPr>
              <w:pStyle w:val="95"/>
              <w:spacing w:line="360" w:lineRule="auto"/>
              <w:ind w:left="482"/>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过滤日常物品：</w:t>
            </w:r>
            <w:r>
              <w:rPr>
                <w:rFonts w:hint="eastAsia" w:ascii="宋体" w:hAnsi="宋体"/>
                <w:color w:val="000000" w:themeColor="text1"/>
                <w:szCs w:val="21"/>
                <w14:textFill>
                  <w14:solidFill>
                    <w14:schemeClr w14:val="tx1"/>
                  </w14:solidFill>
                </w14:textFill>
              </w:rPr>
              <w:t>可排除过检人员身上金属钮扣、项链、打火机、钥匙、硬币、皮带扣等日常贴身携带的小金属干扰不报警，精准检测，提高安检效率；</w:t>
            </w:r>
          </w:p>
          <w:p>
            <w:pPr>
              <w:pStyle w:val="95"/>
              <w:spacing w:line="360" w:lineRule="auto"/>
              <w:ind w:left="48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智能探测：</w:t>
            </w:r>
          </w:p>
          <w:p>
            <w:pPr>
              <w:pStyle w:val="95"/>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当手机以横向、竖向、纵向的姿态从智能安检门正中间通过时，智能安检门能探测到并进行报警；</w:t>
            </w:r>
          </w:p>
          <w:p>
            <w:pPr>
              <w:pStyle w:val="95"/>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智能安检门能探测到藏匿于头顶帽子内、前腹、后腰、大腿内侧、小腿内侧、脚踝内侧等位置的智能手机。</w:t>
            </w:r>
          </w:p>
          <w:p>
            <w:pPr>
              <w:pStyle w:val="95"/>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检测率不低于9</w:t>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，无论手机处于待机、关机，开机、移除电池、移除SIM卡等任何状态下，智能安检门都能准确探测到。</w:t>
            </w:r>
          </w:p>
          <w:p>
            <w:pPr>
              <w:pStyle w:val="95"/>
              <w:spacing w:line="360" w:lineRule="auto"/>
              <w:ind w:left="482"/>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准确定位：</w:t>
            </w:r>
            <w:r>
              <w:rPr>
                <w:rFonts w:hint="eastAsia" w:ascii="宋体" w:hAnsi="宋体"/>
                <w:color w:val="000000" w:themeColor="text1"/>
                <w:szCs w:val="21"/>
                <w14:textFill>
                  <w14:solidFill>
                    <w14:schemeClr w14:val="tx1"/>
                  </w14:solidFill>
                </w14:textFill>
              </w:rPr>
              <w:t>具备1000个级别灵敏度调节，总区及分区灵敏度均可调节，可根据要求对智能安检门的各探测防区灵敏度灵活设置，以满足用户在不同场所检测不同大小的物品。内置常见工作模式或工作场景，每种模式或场景对应一套参数设置值，可快捷、方便的进行一键设置。</w:t>
            </w:r>
          </w:p>
          <w:p>
            <w:pPr>
              <w:pStyle w:val="95"/>
              <w:spacing w:line="360" w:lineRule="auto"/>
              <w:ind w:left="48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双屏显示：</w:t>
            </w:r>
            <w:r>
              <w:rPr>
                <w:rFonts w:hint="eastAsia" w:ascii="宋体" w:hAnsi="宋体"/>
                <w:color w:val="000000" w:themeColor="text1"/>
                <w:szCs w:val="21"/>
                <w14:textFill>
                  <w14:solidFill>
                    <w14:schemeClr w14:val="tx1"/>
                  </w14:solidFill>
                </w14:textFill>
              </w:rPr>
              <w:t>前置</w:t>
            </w:r>
            <w:r>
              <w:rPr>
                <w:rFonts w:ascii="宋体" w:hAnsi="宋体"/>
                <w:color w:val="000000" w:themeColor="text1"/>
                <w:szCs w:val="21"/>
                <w14:textFill>
                  <w14:solidFill>
                    <w14:schemeClr w14:val="tx1"/>
                  </w14:solidFill>
                </w14:textFill>
              </w:rPr>
              <w:t>10寸液晶触摸屏，后置29英寸液晶显示屏,用于显示报警物品类别、通过人数、报警人数、安检人体虚拟区位、通过的金属物品在交变电磁场中的相位信息等。</w:t>
            </w:r>
          </w:p>
          <w:p>
            <w:pPr>
              <w:pStyle w:val="95"/>
              <w:spacing w:line="360" w:lineRule="auto"/>
              <w:ind w:left="482"/>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声光报警功能：</w:t>
            </w:r>
            <w:r>
              <w:rPr>
                <w:rFonts w:hint="eastAsia" w:ascii="宋体" w:hAnsi="宋体"/>
                <w:color w:val="000000" w:themeColor="text1"/>
                <w:szCs w:val="21"/>
                <w14:textFill>
                  <w14:solidFill>
                    <w14:schemeClr w14:val="tx1"/>
                  </w14:solidFill>
                </w14:textFill>
              </w:rPr>
              <w:t>具有报警声、LED指示灯双重报警,准确指示违规物品藏匿位置,报警声可调,报警铃声共有为10种,报警音量共有100档，根据实际场景调节。</w:t>
            </w:r>
          </w:p>
          <w:p>
            <w:pPr>
              <w:pStyle w:val="95"/>
              <w:spacing w:line="360" w:lineRule="auto"/>
              <w:ind w:left="422"/>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双重密保保护功能：</w:t>
            </w:r>
            <w:r>
              <w:rPr>
                <w:rFonts w:hint="eastAsia" w:ascii="宋体" w:hAnsi="宋体"/>
                <w:color w:val="000000" w:themeColor="text1"/>
                <w:szCs w:val="21"/>
                <w14:textFill>
                  <w14:solidFill>
                    <w14:schemeClr w14:val="tx1"/>
                  </w14:solidFill>
                </w14:textFill>
              </w:rPr>
              <w:t>具备双重密码保护功能，只允许授权人员操作，可根据需要对密码进行修改，并提供密码丢失恢复设置，安全性更高。</w:t>
            </w:r>
          </w:p>
          <w:p>
            <w:pPr>
              <w:pStyle w:val="95"/>
              <w:spacing w:line="360" w:lineRule="auto"/>
              <w:ind w:left="422"/>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开机自检功能：</w:t>
            </w:r>
            <w:r>
              <w:rPr>
                <w:rFonts w:hint="eastAsia" w:ascii="宋体" w:hAnsi="宋体"/>
                <w:color w:val="000000" w:themeColor="text1"/>
                <w:szCs w:val="21"/>
                <w14:textFill>
                  <w14:solidFill>
                    <w14:schemeClr w14:val="tx1"/>
                  </w14:solidFill>
                </w14:textFill>
              </w:rPr>
              <w:t>具备开机自检功能，启动智能安检门时系统会自动对主控制系统、左右探测门板的探测系统、红外装置系统、各防区探头、各外接设备和端口进行自动检测诊断，安检门每个区位的运行状况可以在屏幕上实时查看，并通过波形图示界面，可直观的观察环境是否存在干扰。</w:t>
            </w:r>
          </w:p>
          <w:p>
            <w:pPr>
              <w:pStyle w:val="95"/>
              <w:spacing w:line="360" w:lineRule="auto"/>
              <w:ind w:left="422"/>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安装、调测方便：</w:t>
            </w:r>
            <w:r>
              <w:rPr>
                <w:rFonts w:hint="eastAsia" w:ascii="宋体" w:hAnsi="宋体"/>
                <w:color w:val="000000" w:themeColor="text1"/>
                <w:szCs w:val="21"/>
                <w14:textFill>
                  <w14:solidFill>
                    <w14:schemeClr w14:val="tx1"/>
                  </w14:solidFill>
                </w14:textFill>
              </w:rPr>
              <w:t>一体化设计方案，仅需20分钟即可完成安装或拆卸，能实现现场维护和使用人员通过遥控器或触摸屏或无线鼠键进行参数的设置和调试。</w:t>
            </w:r>
          </w:p>
          <w:p>
            <w:pPr>
              <w:pStyle w:val="95"/>
              <w:spacing w:line="360" w:lineRule="auto"/>
              <w:ind w:left="422"/>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安全保护：</w:t>
            </w:r>
            <w:r>
              <w:rPr>
                <w:rFonts w:hint="eastAsia" w:ascii="宋体" w:hAnsi="宋体"/>
                <w:color w:val="000000" w:themeColor="text1"/>
                <w:szCs w:val="21"/>
                <w14:textFill>
                  <w14:solidFill>
                    <w14:schemeClr w14:val="tx1"/>
                  </w14:solidFill>
                </w14:textFill>
              </w:rPr>
              <w:t>符合国际安全标准，对心脏起博器佩带者、孕妇、磁性介质等无害。</w:t>
            </w:r>
          </w:p>
          <w:p>
            <w:pPr>
              <w:pStyle w:val="4"/>
              <w:spacing w:after="0"/>
              <w:ind w:right="210"/>
              <w:rPr>
                <w:rFonts w:hint="eastAsia"/>
                <w:sz w:val="22"/>
                <w:szCs w:val="22"/>
              </w:rPr>
            </w:pPr>
            <w:bookmarkStart w:id="19" w:name="_Toc131275496"/>
            <w:bookmarkStart w:id="20" w:name="_Toc27142"/>
            <w:r>
              <w:rPr>
                <w:rFonts w:hint="eastAsia"/>
                <w:sz w:val="22"/>
                <w:szCs w:val="22"/>
              </w:rPr>
              <w:t>手机集中存放建议</w:t>
            </w:r>
            <w:bookmarkEnd w:id="19"/>
            <w:bookmarkEnd w:id="20"/>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考点</w:t>
            </w:r>
            <w:r>
              <w:rPr>
                <w:rFonts w:ascii="宋体" w:hAnsi="宋体" w:eastAsia="宋体" w:cs="宋体"/>
                <w:color w:val="000000" w:themeColor="text1"/>
                <w:szCs w:val="21"/>
                <w14:textFill>
                  <w14:solidFill>
                    <w14:schemeClr w14:val="tx1"/>
                  </w14:solidFill>
                </w14:textFill>
              </w:rPr>
              <w:t>物品存放区</w:t>
            </w:r>
            <w:r>
              <w:rPr>
                <w:rFonts w:hint="eastAsia" w:ascii="宋体" w:hAnsi="宋体" w:eastAsia="宋体" w:cs="宋体"/>
                <w:color w:val="000000" w:themeColor="text1"/>
                <w:szCs w:val="21"/>
                <w14:textFill>
                  <w14:solidFill>
                    <w14:schemeClr w14:val="tx1"/>
                  </w14:solidFill>
                </w14:textFill>
              </w:rPr>
              <w:t>应考虑考生存取的安全和便利，建议</w:t>
            </w:r>
            <w:r>
              <w:rPr>
                <w:rFonts w:ascii="宋体" w:hAnsi="宋体" w:eastAsia="宋体" w:cs="宋体"/>
                <w:color w:val="000000" w:themeColor="text1"/>
                <w:szCs w:val="21"/>
                <w14:textFill>
                  <w14:solidFill>
                    <w14:schemeClr w14:val="tx1"/>
                  </w14:solidFill>
                </w14:textFill>
              </w:rPr>
              <w:t>设置在</w:t>
            </w:r>
            <w:r>
              <w:rPr>
                <w:rFonts w:hint="eastAsia" w:ascii="宋体" w:hAnsi="宋体" w:eastAsia="宋体" w:cs="宋体"/>
                <w:color w:val="000000" w:themeColor="text1"/>
                <w:szCs w:val="21"/>
                <w14:textFill>
                  <w14:solidFill>
                    <w14:schemeClr w14:val="tx1"/>
                  </w14:solidFill>
                </w14:textFill>
              </w:rPr>
              <w:t>考试</w:t>
            </w:r>
            <w:r>
              <w:rPr>
                <w:rFonts w:ascii="宋体" w:hAnsi="宋体" w:eastAsia="宋体" w:cs="宋体"/>
                <w:color w:val="000000" w:themeColor="text1"/>
                <w:szCs w:val="21"/>
                <w14:textFill>
                  <w14:solidFill>
                    <w14:schemeClr w14:val="tx1"/>
                  </w14:solidFill>
                </w14:textFill>
              </w:rPr>
              <w:t>封闭区外</w:t>
            </w:r>
            <w:r>
              <w:rPr>
                <w:rFonts w:hint="eastAsia" w:ascii="宋体" w:hAnsi="宋体" w:eastAsia="宋体" w:cs="宋体"/>
                <w:color w:val="000000" w:themeColor="text1"/>
                <w:szCs w:val="21"/>
                <w14:textFill>
                  <w14:solidFill>
                    <w14:schemeClr w14:val="tx1"/>
                  </w14:solidFill>
                </w14:textFill>
              </w:rPr>
              <w:t>、过安检门之前</w:t>
            </w: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以防止考生携带违禁品进入考场。选择足够空间的地方，以避免人员拥堵和混乱。并</w:t>
            </w:r>
            <w:r>
              <w:rPr>
                <w:rFonts w:ascii="宋体" w:hAnsi="宋体" w:eastAsia="宋体" w:cs="宋体"/>
                <w:color w:val="000000" w:themeColor="text1"/>
                <w:szCs w:val="21"/>
                <w14:textFill>
                  <w14:solidFill>
                    <w14:schemeClr w14:val="tx1"/>
                  </w14:solidFill>
                </w14:textFill>
              </w:rPr>
              <w:t>尽量分考场设置，做到全程视频监控、专人看管、配备防雨雪设施等。</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手机存放可采用塑料置物箱、手机布袋，纸质信封等方式，并按照准考证号码或者身份证号码进行编号或登记，以便于考生领取和核对。</w:t>
            </w:r>
          </w:p>
          <w:p>
            <w:pPr>
              <w:pStyle w:val="4"/>
              <w:spacing w:after="0"/>
              <w:ind w:right="210"/>
              <w:rPr>
                <w:rFonts w:hint="eastAsia"/>
                <w:sz w:val="22"/>
                <w:szCs w:val="22"/>
              </w:rPr>
            </w:pPr>
            <w:bookmarkStart w:id="21" w:name="_Toc131275497"/>
            <w:bookmarkStart w:id="22" w:name="_Toc6517"/>
            <w:r>
              <w:rPr>
                <w:rFonts w:hint="eastAsia"/>
                <w:sz w:val="22"/>
                <w:szCs w:val="22"/>
              </w:rPr>
              <w:t>扩展功能介绍</w:t>
            </w:r>
            <w:bookmarkEnd w:id="21"/>
            <w:bookmarkEnd w:id="22"/>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安检门预留后期联网功能，后期可以实现告警数据联网，与省大数据平台联动。支持检测数据上报、通行人数和报警人数上报到管理平台；并支持查询安检门的通行人数和报警人数，检索并统计安检门的检测数据。</w:t>
            </w:r>
          </w:p>
          <w:p>
            <w:pPr>
              <w:keepNext w:val="0"/>
              <w:keepLines w:val="0"/>
              <w:widowControl/>
              <w:numPr>
                <w:ilvl w:val="0"/>
                <w:numId w:val="0"/>
              </w:numPr>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cs="宋体"/>
                <w:i w:val="0"/>
                <w:iCs w:val="0"/>
                <w:color w:val="auto"/>
                <w:kern w:val="0"/>
                <w:sz w:val="22"/>
                <w:szCs w:val="22"/>
                <w:u w:val="none"/>
                <w:shd w:val="clear" w:color="auto" w:fill="auto"/>
                <w:lang w:val="en-US" w:eastAsia="zh-CN" w:bidi="ar"/>
              </w:rPr>
              <w:t>4</w:t>
            </w:r>
            <w:r>
              <w:rPr>
                <w:rFonts w:hint="eastAsia" w:ascii="宋体" w:hAnsi="宋体" w:eastAsia="宋体" w:cs="宋体"/>
                <w:i w:val="0"/>
                <w:iCs w:val="0"/>
                <w:color w:val="auto"/>
                <w:kern w:val="0"/>
                <w:sz w:val="22"/>
                <w:szCs w:val="22"/>
                <w:u w:val="none"/>
                <w:shd w:val="clear" w:color="auto" w:fill="auto"/>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cs="宋体"/>
                <w:b/>
                <w:bCs/>
                <w:i w:val="0"/>
                <w:iCs w:val="0"/>
                <w:color w:val="auto"/>
                <w:kern w:val="0"/>
                <w:sz w:val="22"/>
                <w:szCs w:val="22"/>
                <w:u w:val="none"/>
                <w:shd w:val="clear" w:color="auto" w:fill="auto"/>
                <w:lang w:val="en-US" w:eastAsia="zh-CN" w:bidi="ar"/>
              </w:rPr>
              <w:t>手机信号屏蔽系统</w:t>
            </w:r>
          </w:p>
          <w:p>
            <w:pPr>
              <w:keepNext w:val="0"/>
              <w:keepLines w:val="0"/>
              <w:widowControl/>
              <w:suppressLineNumbers w:val="0"/>
              <w:tabs>
                <w:tab w:val="left" w:pos="0"/>
              </w:tabs>
              <w:jc w:val="center"/>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000000"/>
                <w:kern w:val="0"/>
                <w:sz w:val="32"/>
                <w:szCs w:val="32"/>
                <w:u w:val="none"/>
                <w:lang w:val="en-US" w:eastAsia="zh-CN" w:bidi="ar"/>
              </w:rPr>
              <w:t>（2018D-CZS60)</w:t>
            </w:r>
          </w:p>
        </w:tc>
        <w:tc>
          <w:tcPr>
            <w:tcW w:w="7616" w:type="dxa"/>
            <w:tcBorders>
              <w:top w:val="single" w:color="000000" w:sz="4" w:space="0"/>
              <w:left w:val="single" w:color="000000" w:sz="4" w:space="0"/>
              <w:bottom w:val="single" w:color="000000" w:sz="4" w:space="0"/>
              <w:right w:val="single" w:color="000000" w:sz="4" w:space="0"/>
            </w:tcBorders>
            <w:noWrap w:val="0"/>
            <w:vAlign w:val="center"/>
          </w:tcPr>
          <w:p>
            <w:pPr>
              <w:pStyle w:val="4"/>
              <w:spacing w:after="0"/>
              <w:ind w:right="210"/>
              <w:jc w:val="left"/>
              <w:rPr>
                <w:rFonts w:hint="eastAsia"/>
                <w:sz w:val="22"/>
                <w:szCs w:val="22"/>
              </w:rPr>
            </w:pPr>
            <w:bookmarkStart w:id="23" w:name="_Toc27546"/>
            <w:bookmarkStart w:id="24" w:name="_Toc131872056"/>
            <w:bookmarkStart w:id="25" w:name="_Toc131275499"/>
            <w:r>
              <w:rPr>
                <w:rFonts w:hint="eastAsia"/>
                <w:sz w:val="22"/>
                <w:szCs w:val="22"/>
              </w:rPr>
              <w:t>系统简介</w:t>
            </w:r>
            <w:bookmarkEnd w:id="23"/>
            <w:bookmarkEnd w:id="24"/>
            <w:bookmarkEnd w:id="25"/>
          </w:p>
          <w:p>
            <w:pPr>
              <w:autoSpaceDE w:val="0"/>
              <w:autoSpaceDN w:val="0"/>
              <w:adjustRightInd w:val="0"/>
              <w:snapToGrid w:val="0"/>
              <w:spacing w:line="360" w:lineRule="auto"/>
              <w:ind w:firstLine="420" w:firstLineChars="200"/>
              <w:rPr>
                <w:rFonts w:ascii="宋体" w:hAnsi="宋体" w:eastAsia="宋体" w:cs="宋体"/>
                <w:color w:val="000000" w:themeColor="text1"/>
                <w:kern w:val="0"/>
                <w:szCs w:val="21"/>
                <w:shd w:val="clear" w:color="auto" w:fill="FFFFFF"/>
                <w14:textFill>
                  <w14:solidFill>
                    <w14:schemeClr w14:val="tx1"/>
                  </w14:solidFill>
                </w14:textFill>
              </w:rPr>
            </w:pPr>
            <w:r>
              <w:rPr>
                <w:rFonts w:hint="eastAsia" w:ascii="宋体" w:hAnsi="宋体" w:eastAsia="宋体" w:cs="宋体"/>
                <w:color w:val="000000" w:themeColor="text1"/>
                <w:kern w:val="0"/>
                <w:szCs w:val="21"/>
                <w:shd w:val="clear" w:color="auto" w:fill="FFFFFF"/>
                <w14:textFill>
                  <w14:solidFill>
                    <w14:schemeClr w14:val="tx1"/>
                  </w14:solidFill>
                </w14:textFill>
              </w:rPr>
              <w:t>国家教育考试智能安防配置手机信号屏蔽器，用于有效屏蔽（干扰）考场内的所有手机信号（CDMA、GSM、DCS、PHS、3G、4G、5G）、及WIFI(WLAN) /2.4G 通讯、无线摄像头、无线网络（QQ和微博等）信号，彻底杜绝考生利用手机或无线网络进行作弊的现象，保证考试的公正性，给学子们创造一个公平的竞争环境。</w:t>
            </w:r>
          </w:p>
          <w:p>
            <w:pPr>
              <w:spacing w:line="360" w:lineRule="auto"/>
              <w:ind w:firstLine="420"/>
              <w:rPr>
                <w:rFonts w:ascii="宋体" w:hAnsi="宋体" w:eastAsia="宋体" w:cs="宋体"/>
                <w:color w:val="000000" w:themeColor="text1"/>
                <w:kern w:val="0"/>
                <w:szCs w:val="21"/>
                <w:shd w:val="clear" w:color="auto" w:fill="FFFFFF"/>
                <w14:textFill>
                  <w14:solidFill>
                    <w14:schemeClr w14:val="tx1"/>
                  </w14:solidFill>
                </w14:textFill>
              </w:rPr>
            </w:pPr>
            <w:r>
              <w:rPr>
                <w:rFonts w:hint="eastAsia" w:ascii="宋体" w:hAnsi="宋体" w:eastAsia="宋体" w:cs="宋体"/>
                <w:color w:val="000000" w:themeColor="text1"/>
                <w:kern w:val="0"/>
                <w:szCs w:val="21"/>
                <w:shd w:val="clear" w:color="auto" w:fill="FFFFFF"/>
                <w14:textFill>
                  <w14:solidFill>
                    <w14:schemeClr w14:val="tx1"/>
                  </w14:solidFill>
                </w14:textFill>
              </w:rPr>
              <w:t>建设采用一种新型的信号屏蔽设备，能够有效地屏蔽多种频段的无线电信号，包括</w:t>
            </w:r>
            <w:r>
              <w:rPr>
                <w:rFonts w:ascii="宋体" w:hAnsi="宋体" w:eastAsia="宋体" w:cs="宋体"/>
                <w:color w:val="000000" w:themeColor="text1"/>
                <w:kern w:val="0"/>
                <w:szCs w:val="21"/>
                <w:shd w:val="clear" w:color="auto" w:fill="FFFFFF"/>
                <w14:textFill>
                  <w14:solidFill>
                    <w14:schemeClr w14:val="tx1"/>
                  </w14:solidFill>
                </w14:textFill>
              </w:rPr>
              <w:t>2G、3G、4G、5G等。与传统的大功率屏蔽设备相比，具有以下优势：</w:t>
            </w:r>
          </w:p>
          <w:p>
            <w:pPr>
              <w:pStyle w:val="62"/>
              <w:numPr>
                <w:ilvl w:val="0"/>
                <w:numId w:val="2"/>
              </w:numPr>
              <w:spacing w:line="360" w:lineRule="auto"/>
              <w:ind w:firstLineChars="0"/>
              <w:rPr>
                <w:rFonts w:ascii="宋体" w:hAnsi="宋体" w:eastAsia="宋体" w:cs="宋体"/>
                <w:color w:val="000000" w:themeColor="text1"/>
                <w:kern w:val="0"/>
                <w:szCs w:val="21"/>
                <w:shd w:val="clear" w:color="auto" w:fill="FFFFFF"/>
                <w14:textFill>
                  <w14:solidFill>
                    <w14:schemeClr w14:val="tx1"/>
                  </w14:solidFill>
                </w14:textFill>
              </w:rPr>
            </w:pPr>
            <w:r>
              <w:rPr>
                <w:rFonts w:hint="eastAsia" w:ascii="宋体" w:hAnsi="宋体" w:eastAsia="宋体" w:cs="宋体"/>
                <w:b/>
                <w:bCs/>
                <w:color w:val="000000" w:themeColor="text1"/>
                <w:kern w:val="0"/>
                <w:szCs w:val="21"/>
                <w:shd w:val="clear" w:color="auto" w:fill="FFFFFF"/>
                <w14:textFill>
                  <w14:solidFill>
                    <w14:schemeClr w14:val="tx1"/>
                  </w14:solidFill>
                </w14:textFill>
              </w:rPr>
              <w:t>健康安全：</w:t>
            </w:r>
            <w:r>
              <w:rPr>
                <w:rFonts w:hint="eastAsia" w:ascii="宋体" w:hAnsi="宋体" w:eastAsia="宋体" w:cs="宋体"/>
                <w:color w:val="000000" w:themeColor="text1"/>
                <w:kern w:val="0"/>
                <w:szCs w:val="21"/>
                <w:shd w:val="clear" w:color="auto" w:fill="FFFFFF"/>
                <w14:textFill>
                  <w14:solidFill>
                    <w14:schemeClr w14:val="tx1"/>
                  </w14:solidFill>
                </w14:textFill>
              </w:rPr>
              <w:t>采用低功率的屏蔽技术，不会产生有害的电磁辐射，对人体和环境无影响，符合国家相关标准。</w:t>
            </w:r>
          </w:p>
          <w:p>
            <w:pPr>
              <w:pStyle w:val="62"/>
              <w:numPr>
                <w:ilvl w:val="0"/>
                <w:numId w:val="2"/>
              </w:numPr>
              <w:spacing w:line="360" w:lineRule="auto"/>
              <w:ind w:firstLineChars="0"/>
              <w:rPr>
                <w:rFonts w:ascii="宋体" w:hAnsi="宋体" w:eastAsia="宋体" w:cs="宋体"/>
                <w:color w:val="000000" w:themeColor="text1"/>
                <w:kern w:val="0"/>
                <w:szCs w:val="21"/>
                <w:shd w:val="clear" w:color="auto" w:fill="FFFFFF"/>
                <w14:textFill>
                  <w14:solidFill>
                    <w14:schemeClr w14:val="tx1"/>
                  </w14:solidFill>
                </w14:textFill>
              </w:rPr>
            </w:pPr>
            <w:r>
              <w:rPr>
                <w:rFonts w:hint="eastAsia" w:ascii="宋体" w:hAnsi="宋体" w:eastAsia="宋体" w:cs="宋体"/>
                <w:b/>
                <w:bCs/>
                <w:color w:val="000000" w:themeColor="text1"/>
                <w:kern w:val="0"/>
                <w:szCs w:val="21"/>
                <w:shd w:val="clear" w:color="auto" w:fill="FFFFFF"/>
                <w14:textFill>
                  <w14:solidFill>
                    <w14:schemeClr w14:val="tx1"/>
                  </w14:solidFill>
                </w14:textFill>
              </w:rPr>
              <w:t>高效稳定：</w:t>
            </w:r>
            <w:r>
              <w:rPr>
                <w:rFonts w:hint="eastAsia" w:ascii="宋体" w:hAnsi="宋体" w:eastAsia="宋体" w:cs="宋体"/>
                <w:color w:val="000000" w:themeColor="text1"/>
                <w:kern w:val="0"/>
                <w:szCs w:val="21"/>
                <w:shd w:val="clear" w:color="auto" w:fill="FFFFFF"/>
                <w14:textFill>
                  <w14:solidFill>
                    <w14:schemeClr w14:val="tx1"/>
                  </w14:solidFill>
                </w14:textFill>
              </w:rPr>
              <w:t>能够根据信号强度和环境条件自动调节屏蔽范围和强度，保证屏蔽效果的一致性和可靠性。</w:t>
            </w:r>
          </w:p>
          <w:p>
            <w:pPr>
              <w:pStyle w:val="62"/>
              <w:numPr>
                <w:ilvl w:val="0"/>
                <w:numId w:val="2"/>
              </w:numPr>
              <w:spacing w:line="360" w:lineRule="auto"/>
              <w:ind w:firstLineChars="0"/>
              <w:rPr>
                <w:rFonts w:ascii="宋体" w:hAnsi="宋体" w:eastAsia="宋体" w:cs="宋体"/>
                <w:color w:val="000000" w:themeColor="text1"/>
                <w:kern w:val="0"/>
                <w:szCs w:val="21"/>
                <w:shd w:val="clear" w:color="auto" w:fill="FFFFFF"/>
                <w14:textFill>
                  <w14:solidFill>
                    <w14:schemeClr w14:val="tx1"/>
                  </w14:solidFill>
                </w14:textFill>
              </w:rPr>
            </w:pPr>
            <w:r>
              <w:rPr>
                <w:rFonts w:hint="eastAsia" w:ascii="宋体" w:hAnsi="宋体" w:eastAsia="宋体" w:cs="宋体"/>
                <w:b/>
                <w:bCs/>
                <w:color w:val="000000" w:themeColor="text1"/>
                <w:kern w:val="0"/>
                <w:szCs w:val="21"/>
                <w:shd w:val="clear" w:color="auto" w:fill="FFFFFF"/>
                <w14:textFill>
                  <w14:solidFill>
                    <w14:schemeClr w14:val="tx1"/>
                  </w14:solidFill>
                </w14:textFill>
              </w:rPr>
              <w:t>灵活便捷：</w:t>
            </w:r>
            <w:r>
              <w:rPr>
                <w:rFonts w:hint="eastAsia" w:ascii="宋体" w:hAnsi="宋体" w:eastAsia="宋体" w:cs="宋体"/>
                <w:color w:val="000000" w:themeColor="text1"/>
                <w:kern w:val="0"/>
                <w:szCs w:val="21"/>
                <w:shd w:val="clear" w:color="auto" w:fill="FFFFFF"/>
                <w14:textFill>
                  <w14:solidFill>
                    <w14:schemeClr w14:val="tx1"/>
                  </w14:solidFill>
                </w14:textFill>
              </w:rPr>
              <w:t>采用模块化的设计，可以根据不同的场景和业务需求进行灵活的组合和安装，方便携带和使用。</w:t>
            </w:r>
          </w:p>
          <w:p>
            <w:pPr>
              <w:pStyle w:val="62"/>
              <w:numPr>
                <w:ilvl w:val="0"/>
                <w:numId w:val="2"/>
              </w:numPr>
              <w:spacing w:line="360" w:lineRule="auto"/>
              <w:ind w:firstLineChars="0"/>
              <w:rPr>
                <w:rFonts w:ascii="宋体" w:hAnsi="宋体" w:eastAsia="宋体" w:cs="宋体"/>
                <w:color w:val="000000" w:themeColor="text1"/>
                <w:kern w:val="0"/>
                <w:szCs w:val="21"/>
                <w:shd w:val="clear" w:color="auto" w:fill="FFFFFF"/>
                <w14:textFill>
                  <w14:solidFill>
                    <w14:schemeClr w14:val="tx1"/>
                  </w14:solidFill>
                </w14:textFill>
              </w:rPr>
            </w:pPr>
            <w:r>
              <w:rPr>
                <w:rFonts w:hint="eastAsia" w:ascii="宋体" w:hAnsi="宋体" w:eastAsia="宋体" w:cs="宋体"/>
                <w:b/>
                <w:bCs/>
                <w:color w:val="000000" w:themeColor="text1"/>
                <w:kern w:val="0"/>
                <w:szCs w:val="21"/>
                <w:shd w:val="clear" w:color="auto" w:fill="FFFFFF"/>
                <w14:textFill>
                  <w14:solidFill>
                    <w14:schemeClr w14:val="tx1"/>
                  </w14:solidFill>
                </w14:textFill>
              </w:rPr>
              <w:t>经济节能：</w:t>
            </w:r>
            <w:r>
              <w:rPr>
                <w:rFonts w:hint="eastAsia" w:ascii="宋体" w:hAnsi="宋体" w:eastAsia="宋体" w:cs="宋体"/>
                <w:color w:val="000000" w:themeColor="text1"/>
                <w:kern w:val="0"/>
                <w:szCs w:val="21"/>
                <w:shd w:val="clear" w:color="auto" w:fill="FFFFFF"/>
                <w14:textFill>
                  <w14:solidFill>
                    <w14:schemeClr w14:val="tx1"/>
                  </w14:solidFill>
                </w14:textFill>
              </w:rPr>
              <w:t>的功耗较低，可以节省电力资源，降低运行成本，同时也减少了对周围居民的干扰和投诉。</w:t>
            </w:r>
          </w:p>
          <w:p>
            <w:pPr>
              <w:pStyle w:val="4"/>
              <w:spacing w:after="0"/>
              <w:ind w:right="210"/>
              <w:jc w:val="left"/>
              <w:rPr>
                <w:rFonts w:hint="eastAsia"/>
                <w:sz w:val="22"/>
                <w:szCs w:val="22"/>
              </w:rPr>
            </w:pPr>
            <w:bookmarkStart w:id="26" w:name="_Toc22656"/>
            <w:bookmarkStart w:id="27" w:name="_Toc131872057"/>
            <w:bookmarkStart w:id="28" w:name="_Toc131275500"/>
            <w:r>
              <w:rPr>
                <w:rFonts w:hint="eastAsia"/>
                <w:sz w:val="22"/>
                <w:szCs w:val="22"/>
              </w:rPr>
              <w:t>工作原理</w:t>
            </w:r>
            <w:bookmarkEnd w:id="26"/>
            <w:bookmarkEnd w:id="27"/>
            <w:bookmarkEnd w:id="28"/>
          </w:p>
          <w:p>
            <w:pPr>
              <w:widowControl/>
              <w:shd w:val="clear" w:color="auto" w:fill="FFFFFF"/>
              <w:spacing w:line="360" w:lineRule="auto"/>
              <w:ind w:firstLine="420" w:firstLineChars="200"/>
              <w:jc w:val="left"/>
              <w:rPr>
                <w:rFonts w:ascii="宋体" w:hAnsi="宋体" w:eastAsia="宋体" w:cs="宋体"/>
                <w:color w:val="000000" w:themeColor="text1"/>
                <w:kern w:val="0"/>
                <w:sz w:val="22"/>
                <w:shd w:val="clear" w:color="auto" w:fill="FFFFFF"/>
                <w14:textFill>
                  <w14:solidFill>
                    <w14:schemeClr w14:val="tx1"/>
                  </w14:solidFill>
                </w14:textFill>
              </w:rPr>
            </w:pPr>
            <w:r>
              <w:rPr>
                <w:rFonts w:hint="eastAsia" w:ascii="宋体" w:hAnsi="宋体" w:eastAsia="宋体" w:cs="宋体"/>
                <w:color w:val="000000" w:themeColor="text1"/>
                <w:kern w:val="0"/>
                <w:szCs w:val="21"/>
                <w:shd w:val="clear" w:color="auto" w:fill="FFFFFF"/>
                <w14:textFill>
                  <w14:solidFill>
                    <w14:schemeClr w14:val="tx1"/>
                  </w14:solidFill>
                </w14:textFill>
              </w:rPr>
              <w:t>手机信号屏蔽器工作原理是以宽带噪声信号方式干扰手机信号的接收。电路板220V交流电经变压整流器输出5V直流电压，波形发生电路产生三角波低频信号，三角波信号经压控振荡器输出以一定的速度从前向信道的低端频率向高端扫描射频信号，射频信号经过电路板上功率放大模块放大后传输到发射天线，最后由天线辐射到空间</w:t>
            </w:r>
            <w:r>
              <w:rPr>
                <w:rFonts w:hint="eastAsia" w:ascii="宋体" w:hAnsi="宋体" w:eastAsia="宋体" w:cs="宋体"/>
                <w:color w:val="000000" w:themeColor="text1"/>
                <w:kern w:val="0"/>
                <w:sz w:val="22"/>
                <w:shd w:val="clear" w:color="auto" w:fill="FFFFFF"/>
                <w14:textFill>
                  <w14:solidFill>
                    <w14:schemeClr w14:val="tx1"/>
                  </w14:solidFill>
                </w14:textFill>
              </w:rPr>
              <w:t>中。</w:t>
            </w:r>
          </w:p>
          <w:p>
            <w:pPr>
              <w:pStyle w:val="4"/>
              <w:spacing w:after="0"/>
              <w:ind w:right="210"/>
              <w:rPr>
                <w:rFonts w:hint="eastAsia"/>
                <w:sz w:val="22"/>
                <w:szCs w:val="22"/>
              </w:rPr>
            </w:pPr>
            <w:bookmarkStart w:id="29" w:name="_Toc6798"/>
            <w:bookmarkStart w:id="30" w:name="_Toc131872058"/>
            <w:bookmarkStart w:id="31" w:name="_Toc131275501"/>
            <w:r>
              <w:rPr>
                <w:rFonts w:hint="eastAsia"/>
                <w:sz w:val="22"/>
                <w:szCs w:val="22"/>
              </w:rPr>
              <w:t>环境要求</w:t>
            </w:r>
            <w:bookmarkEnd w:id="29"/>
            <w:bookmarkEnd w:id="30"/>
            <w:bookmarkEnd w:id="31"/>
          </w:p>
          <w:p>
            <w:pPr>
              <w:spacing w:line="360" w:lineRule="auto"/>
              <w:ind w:firstLine="420" w:firstLineChars="200"/>
              <w:rPr>
                <w:rFonts w:ascii="宋体" w:hAnsi="宋体" w:eastAsia="宋体" w:cs="宋体"/>
                <w:color w:val="000000" w:themeColor="text1"/>
                <w:kern w:val="0"/>
                <w:szCs w:val="21"/>
                <w:shd w:val="clear" w:color="auto" w:fill="FFFFFF"/>
                <w14:textFill>
                  <w14:solidFill>
                    <w14:schemeClr w14:val="tx1"/>
                  </w14:solidFill>
                </w14:textFill>
              </w:rPr>
            </w:pPr>
            <w:r>
              <w:rPr>
                <w:rFonts w:hint="eastAsia" w:ascii="宋体" w:hAnsi="宋体" w:eastAsia="宋体" w:cs="宋体"/>
                <w:color w:val="000000" w:themeColor="text1"/>
                <w:kern w:val="0"/>
                <w:szCs w:val="21"/>
                <w:shd w:val="clear" w:color="auto" w:fill="FFFFFF"/>
                <w14:textFill>
                  <w14:solidFill>
                    <w14:schemeClr w14:val="tx1"/>
                  </w14:solidFill>
                </w14:textFill>
              </w:rPr>
              <w:t>运营商手机信号发射基站的信号发射功率基本都达100W-1000W以上，而普通的手机信号屏蔽器的功率基本10-30W左右，要实现对特定环境手机信号达到屏蔽的效果，因此对手机信号屏蔽器的工作环境有一定的要求：</w:t>
            </w:r>
          </w:p>
          <w:p>
            <w:pPr>
              <w:pStyle w:val="4"/>
              <w:spacing w:after="0"/>
              <w:ind w:right="210"/>
              <w:rPr>
                <w:rFonts w:hint="eastAsia"/>
                <w:sz w:val="22"/>
                <w:szCs w:val="22"/>
              </w:rPr>
            </w:pPr>
            <w:r>
              <w:rPr>
                <w:rFonts w:hint="eastAsia"/>
                <w:sz w:val="22"/>
                <w:szCs w:val="22"/>
              </w:rPr>
              <w:t>1、屏蔽环境与基站距离要求</w:t>
            </w:r>
          </w:p>
          <w:p>
            <w:pPr>
              <w:spacing w:line="360" w:lineRule="auto"/>
              <w:ind w:firstLine="420" w:firstLineChars="200"/>
              <w:rPr>
                <w:rFonts w:ascii="宋体" w:hAnsi="宋体" w:eastAsia="宋体" w:cs="宋体"/>
                <w:color w:val="000000" w:themeColor="text1"/>
                <w:kern w:val="0"/>
                <w:szCs w:val="21"/>
                <w:shd w:val="clear" w:color="auto" w:fill="FFFFFF"/>
                <w14:textFill>
                  <w14:solidFill>
                    <w14:schemeClr w14:val="tx1"/>
                  </w14:solidFill>
                </w14:textFill>
              </w:rPr>
            </w:pPr>
            <w:r>
              <w:rPr>
                <w:rFonts w:hint="eastAsia" w:ascii="宋体" w:hAnsi="宋体" w:eastAsia="宋体" w:cs="宋体"/>
                <w:color w:val="000000" w:themeColor="text1"/>
                <w:kern w:val="0"/>
                <w:szCs w:val="21"/>
                <w:shd w:val="clear" w:color="auto" w:fill="FFFFFF"/>
                <w14:textFill>
                  <w14:solidFill>
                    <w14:schemeClr w14:val="tx1"/>
                  </w14:solidFill>
                </w14:textFill>
              </w:rPr>
              <w:t>手机信号发射基站200米之内的环境，是手机信号屏蔽器不具备屏蔽条件的环境。需要屏蔽的环境必须与运营商通信基站之间的距离起点在200米以上，手机信号屏蔽器工作环境离基站越远屏蔽范围就越大。</w:t>
            </w:r>
          </w:p>
          <w:p>
            <w:pPr>
              <w:pStyle w:val="4"/>
              <w:spacing w:after="0"/>
              <w:ind w:right="210"/>
              <w:rPr>
                <w:rFonts w:hint="eastAsia"/>
                <w:sz w:val="22"/>
                <w:szCs w:val="22"/>
              </w:rPr>
            </w:pPr>
            <w:r>
              <w:rPr>
                <w:rFonts w:hint="eastAsia"/>
                <w:sz w:val="22"/>
                <w:szCs w:val="22"/>
              </w:rPr>
              <w:t>2、屏蔽器工作起点电磁环境要求</w:t>
            </w:r>
          </w:p>
          <w:p>
            <w:pPr>
              <w:spacing w:line="360" w:lineRule="auto"/>
              <w:ind w:firstLine="420" w:firstLineChars="200"/>
              <w:rPr>
                <w:rFonts w:ascii="宋体" w:hAnsi="宋体" w:eastAsia="宋体" w:cs="宋体"/>
                <w:color w:val="000000" w:themeColor="text1"/>
                <w:kern w:val="0"/>
                <w:szCs w:val="21"/>
                <w:shd w:val="clear" w:color="auto" w:fill="FFFFFF"/>
                <w14:textFill>
                  <w14:solidFill>
                    <w14:schemeClr w14:val="tx1"/>
                  </w14:solidFill>
                </w14:textFill>
              </w:rPr>
            </w:pPr>
            <w:r>
              <w:rPr>
                <w:rFonts w:hint="eastAsia" w:ascii="宋体" w:hAnsi="宋体" w:eastAsia="宋体" w:cs="宋体"/>
                <w:color w:val="000000" w:themeColor="text1"/>
                <w:kern w:val="0"/>
                <w:szCs w:val="21"/>
                <w:shd w:val="clear" w:color="auto" w:fill="FFFFFF"/>
                <w14:textFill>
                  <w14:solidFill>
                    <w14:schemeClr w14:val="tx1"/>
                  </w14:solidFill>
                </w14:textFill>
              </w:rPr>
              <w:t>需要屏蔽环境的信号场强在-90dBm以下，手机信号屏蔽器工作环境基站信号场强越弱屏蔽范围也越大。</w:t>
            </w:r>
          </w:p>
          <w:p>
            <w:pPr>
              <w:pStyle w:val="4"/>
              <w:spacing w:after="0"/>
              <w:ind w:right="210"/>
              <w:rPr>
                <w:rFonts w:hint="eastAsia"/>
                <w:sz w:val="22"/>
                <w:szCs w:val="22"/>
              </w:rPr>
            </w:pPr>
            <w:r>
              <w:rPr>
                <w:rFonts w:hint="eastAsia"/>
                <w:sz w:val="22"/>
                <w:szCs w:val="22"/>
              </w:rPr>
              <w:t>3、手机信号屏蔽器工作方向、高度及自然环境要求</w:t>
            </w:r>
          </w:p>
          <w:p>
            <w:pPr>
              <w:spacing w:line="360" w:lineRule="auto"/>
              <w:ind w:firstLine="420" w:firstLineChars="200"/>
              <w:rPr>
                <w:rFonts w:ascii="宋体" w:hAnsi="宋体" w:eastAsia="宋体" w:cs="宋体"/>
                <w:color w:val="000000" w:themeColor="text1"/>
                <w:kern w:val="0"/>
                <w:szCs w:val="21"/>
                <w:shd w:val="clear" w:color="auto" w:fill="FFFFFF"/>
                <w14:textFill>
                  <w14:solidFill>
                    <w14:schemeClr w14:val="tx1"/>
                  </w14:solidFill>
                </w14:textFill>
              </w:rPr>
            </w:pPr>
            <w:r>
              <w:rPr>
                <w:rFonts w:hint="eastAsia" w:ascii="宋体" w:hAnsi="宋体" w:eastAsia="宋体" w:cs="宋体"/>
                <w:color w:val="000000" w:themeColor="text1"/>
                <w:kern w:val="0"/>
                <w:szCs w:val="21"/>
                <w:shd w:val="clear" w:color="auto" w:fill="FFFFFF"/>
                <w14:textFill>
                  <w14:solidFill>
                    <w14:schemeClr w14:val="tx1"/>
                  </w14:solidFill>
                </w14:textFill>
              </w:rPr>
              <w:t>手机信号屏蔽器工作时，要求机器要按照正方向竖直放置。因为只有正方向竖直放置，机器内置的天线才能处于竖直向上的正确方向，才能保证最佳的工作效果。</w:t>
            </w:r>
          </w:p>
          <w:p>
            <w:pPr>
              <w:spacing w:line="360" w:lineRule="auto"/>
              <w:ind w:firstLine="420" w:firstLineChars="200"/>
              <w:rPr>
                <w:rFonts w:ascii="宋体" w:hAnsi="宋体" w:eastAsia="宋体" w:cs="宋体"/>
                <w:color w:val="000000" w:themeColor="text1"/>
                <w:kern w:val="0"/>
                <w:szCs w:val="21"/>
                <w:shd w:val="clear" w:color="auto" w:fill="FFFFFF"/>
                <w14:textFill>
                  <w14:solidFill>
                    <w14:schemeClr w14:val="tx1"/>
                  </w14:solidFill>
                </w14:textFill>
              </w:rPr>
            </w:pPr>
            <w:r>
              <w:rPr>
                <w:rFonts w:hint="eastAsia" w:ascii="宋体" w:hAnsi="宋体" w:eastAsia="宋体" w:cs="宋体"/>
                <w:color w:val="000000" w:themeColor="text1"/>
                <w:kern w:val="0"/>
                <w:szCs w:val="21"/>
                <w:shd w:val="clear" w:color="auto" w:fill="FFFFFF"/>
                <w14:textFill>
                  <w14:solidFill>
                    <w14:schemeClr w14:val="tx1"/>
                  </w14:solidFill>
                </w14:textFill>
              </w:rPr>
              <w:t>手机信号屏蔽器工作时放置在桌子上或挂在墙壁上的高度要保证距离地面1.5米-2.5米左右，机器在这样的高度工作效果最佳。机器的工作环境要无粉尘污染、自然通风，使机器能正常工作散热，保障长时间安全、稳定工作。</w:t>
            </w:r>
          </w:p>
          <w:p>
            <w:pPr>
              <w:pStyle w:val="4"/>
              <w:spacing w:after="0"/>
              <w:ind w:right="210"/>
              <w:rPr>
                <w:rFonts w:hint="eastAsia"/>
                <w:sz w:val="22"/>
                <w:szCs w:val="22"/>
              </w:rPr>
            </w:pPr>
            <w:r>
              <w:rPr>
                <w:rFonts w:hint="eastAsia"/>
                <w:sz w:val="22"/>
                <w:szCs w:val="22"/>
              </w:rPr>
              <w:t>4、WIFI网络放大器和手机信号放大器环境的要求：</w:t>
            </w:r>
          </w:p>
          <w:p>
            <w:pPr>
              <w:spacing w:line="360" w:lineRule="auto"/>
              <w:ind w:firstLine="420" w:firstLineChars="200"/>
              <w:rPr>
                <w:rFonts w:ascii="宋体" w:hAnsi="宋体" w:eastAsia="宋体" w:cs="宋体"/>
                <w:color w:val="000000" w:themeColor="text1"/>
                <w:kern w:val="0"/>
                <w:szCs w:val="21"/>
                <w:shd w:val="clear" w:color="auto" w:fill="FFFFFF"/>
                <w14:textFill>
                  <w14:solidFill>
                    <w14:schemeClr w14:val="tx1"/>
                  </w14:solidFill>
                </w14:textFill>
              </w:rPr>
            </w:pPr>
            <w:r>
              <w:rPr>
                <w:rFonts w:hint="eastAsia" w:ascii="宋体" w:hAnsi="宋体" w:eastAsia="宋体" w:cs="宋体"/>
                <w:color w:val="000000" w:themeColor="text1"/>
                <w:kern w:val="0"/>
                <w:szCs w:val="21"/>
                <w:shd w:val="clear" w:color="auto" w:fill="FFFFFF"/>
                <w14:textFill>
                  <w14:solidFill>
                    <w14:schemeClr w14:val="tx1"/>
                  </w14:solidFill>
                </w14:textFill>
              </w:rPr>
              <w:t>手机信号屏蔽器的WiFi频段功率基本上最大值都不超过1W，而学校建设的WiFi网络分布在教学楼走廊或每个教室安装的放大器相当于一个小型手机基站，其发射功率一般在10W左右。而且手机与WiFi放大器之间的距离还非常近，这样导致手机信号屏蔽器对于WiFi信号很难屏蔽。教学楼或教室里面安装的手机信号放大器也同样相当于小型的基站，手机信号屏蔽器与其近距离对抗，也是互相矛盾的。</w:t>
            </w:r>
          </w:p>
          <w:p>
            <w:pPr>
              <w:spacing w:line="360" w:lineRule="auto"/>
              <w:ind w:firstLine="420" w:firstLineChars="200"/>
              <w:rPr>
                <w:rFonts w:ascii="宋体" w:hAnsi="宋体" w:eastAsia="宋体" w:cs="宋体"/>
                <w:color w:val="000000" w:themeColor="text1"/>
                <w:kern w:val="0"/>
                <w:szCs w:val="21"/>
                <w:shd w:val="clear" w:color="auto" w:fill="FFFFFF"/>
                <w14:textFill>
                  <w14:solidFill>
                    <w14:schemeClr w14:val="tx1"/>
                  </w14:solidFill>
                </w14:textFill>
              </w:rPr>
            </w:pPr>
            <w:r>
              <w:rPr>
                <w:rFonts w:hint="eastAsia" w:ascii="宋体" w:hAnsi="宋体" w:eastAsia="宋体" w:cs="宋体"/>
                <w:color w:val="000000" w:themeColor="text1"/>
                <w:kern w:val="0"/>
                <w:szCs w:val="21"/>
                <w:shd w:val="clear" w:color="auto" w:fill="FFFFFF"/>
                <w14:textFill>
                  <w14:solidFill>
                    <w14:schemeClr w14:val="tx1"/>
                  </w14:solidFill>
                </w14:textFill>
              </w:rPr>
              <w:t>所以，对教学楼内装有手机信号放大器或WiFi网络放大器的环境，以及校园内有手机信号发射基站的环境，考试时需要屏蔽器实现屏蔽功能时，唯一的解决办法就是必须要关闭手机信号放大器或WiFi网络放大器及校园内的手机信号发射基站。因为手机信号发射基站的功率都是特大功率的，手机信号放大器或WiFi网络放大器本身就是小型的基站，让屏蔽器近距离和基站直接对抗是矛盾的关系，左手矛右手盾结果自相矛盾。</w:t>
            </w:r>
          </w:p>
          <w:p>
            <w:pPr>
              <w:spacing w:line="360" w:lineRule="auto"/>
              <w:ind w:firstLine="420" w:firstLineChars="200"/>
              <w:rPr>
                <w:rFonts w:ascii="宋体" w:hAnsi="宋体" w:eastAsia="宋体" w:cs="宋体"/>
                <w:color w:val="000000" w:themeColor="text1"/>
                <w:kern w:val="0"/>
                <w:szCs w:val="21"/>
                <w:shd w:val="clear" w:color="auto" w:fill="FFFFFF"/>
                <w14:textFill>
                  <w14:solidFill>
                    <w14:schemeClr w14:val="tx1"/>
                  </w14:solidFill>
                </w14:textFill>
              </w:rPr>
            </w:pPr>
            <w:r>
              <w:rPr>
                <w:rFonts w:hint="eastAsia" w:ascii="宋体" w:hAnsi="宋体" w:eastAsia="宋体" w:cs="宋体"/>
                <w:color w:val="000000" w:themeColor="text1"/>
                <w:kern w:val="0"/>
                <w:szCs w:val="21"/>
                <w:shd w:val="clear" w:color="auto" w:fill="FFFFFF"/>
                <w14:textFill>
                  <w14:solidFill>
                    <w14:schemeClr w14:val="tx1"/>
                  </w14:solidFill>
                </w14:textFill>
              </w:rPr>
              <w:t>国内所有作为考场的环境，如果考场楼内装有手机信号放大器或WiFi网络放大器以及校园内有手机信号发射基站的环境，在进行考试时都是通过关闭手机信号发射基站及关闭手机信号放大器或WiFi网络放大器的方式来实现正常的屏蔽环境。</w:t>
            </w:r>
          </w:p>
          <w:p>
            <w:pPr>
              <w:pStyle w:val="4"/>
              <w:spacing w:after="0"/>
              <w:ind w:right="210"/>
              <w:rPr>
                <w:rFonts w:hint="eastAsia"/>
                <w:sz w:val="22"/>
                <w:szCs w:val="22"/>
              </w:rPr>
            </w:pPr>
            <w:bookmarkStart w:id="32" w:name="_Toc2193"/>
            <w:bookmarkStart w:id="33" w:name="_Toc131275502"/>
            <w:bookmarkStart w:id="34" w:name="_Toc131872059"/>
            <w:r>
              <w:rPr>
                <w:rFonts w:hint="eastAsia"/>
                <w:sz w:val="22"/>
                <w:szCs w:val="22"/>
              </w:rPr>
              <w:t>安装方法</w:t>
            </w:r>
            <w:bookmarkEnd w:id="32"/>
            <w:bookmarkEnd w:id="33"/>
            <w:bookmarkEnd w:id="34"/>
          </w:p>
          <w:p>
            <w:pPr>
              <w:spacing w:line="360" w:lineRule="auto"/>
              <w:ind w:left="424" w:leftChars="30" w:hanging="361" w:hangingChars="172"/>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1、首先确定需要信号屏蔽的区域内使用手机信号屏蔽器数量，根据手机信号屏蔽器的使用数量计算出耗电功率数值，按照耗电功率值计算出配置电源主线的规格和标准，布置好电源主线。</w:t>
            </w:r>
          </w:p>
          <w:p>
            <w:pPr>
              <w:spacing w:line="360" w:lineRule="auto"/>
              <w:ind w:left="424" w:leftChars="30" w:hanging="361" w:hangingChars="172"/>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2、按照手机信号屏蔽器背面标准的挂孔距离在墙壁上打好挂钉，牢固的挂好机器，将教室内的每一台手机信号屏蔽器与布置好的电源主线连接，同时连接机器的网络接口跟教室内的网线接口连接。挂机的高度距离地面1.5米-2.5米为最佳高度，挂机的位置为墙壁左右起中间的位置最佳，机器挂置的环境要选择通风散热好的环境，机器周边尽可能远离其他电子设备。</w:t>
            </w:r>
          </w:p>
          <w:p>
            <w:pPr>
              <w:spacing w:line="360" w:lineRule="auto"/>
              <w:ind w:left="424" w:leftChars="30" w:hanging="361" w:hangingChars="172"/>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3、把电源主线的终端布置到指定的控制室内，按照计算好的耗电功率值大小配置相应规格标准的电源控制开关，并装好电源控制开关。如果无需网络控制的，也可以通过电源控制开关实现统一开关机。如果用户有定时开关机功能需求，也可以加配定时器控制即可。</w:t>
            </w:r>
          </w:p>
          <w:p>
            <w:pPr>
              <w:keepNext w:val="0"/>
              <w:keepLines w:val="0"/>
              <w:widowControl/>
              <w:suppressLineNumbers w:val="0"/>
              <w:tabs>
                <w:tab w:val="left" w:pos="0"/>
              </w:tabs>
              <w:jc w:val="left"/>
              <w:textAlignment w:val="center"/>
              <w:rPr>
                <w:rFonts w:hint="eastAsia" w:ascii="宋体" w:hAnsi="宋体" w:eastAsia="宋体" w:cs="宋体"/>
                <w:b/>
                <w:bCs/>
                <w:i w:val="0"/>
                <w:iCs w:val="0"/>
                <w:color w:val="auto"/>
                <w:kern w:val="0"/>
                <w:sz w:val="22"/>
                <w:szCs w:val="22"/>
                <w:u w:val="none"/>
                <w:shd w:val="clear" w:color="auto" w:fill="auto"/>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0"/>
              </w:tabs>
              <w:jc w:val="center"/>
              <w:textAlignment w:val="center"/>
              <w:rPr>
                <w:rFonts w:hint="default" w:ascii="宋体" w:hAnsi="宋体" w:eastAsia="宋体" w:cs="宋体"/>
                <w:b/>
                <w:bCs/>
                <w:i w:val="0"/>
                <w:iCs w:val="0"/>
                <w:color w:val="auto"/>
                <w:kern w:val="0"/>
                <w:sz w:val="22"/>
                <w:szCs w:val="22"/>
                <w:u w:val="none"/>
                <w:shd w:val="clear" w:color="auto" w:fill="auto"/>
                <w:lang w:val="en-US" w:eastAsia="zh-CN" w:bidi="ar"/>
              </w:rPr>
            </w:pPr>
            <w:r>
              <w:rPr>
                <w:rFonts w:hint="eastAsia" w:ascii="宋体" w:hAnsi="宋体" w:cs="宋体"/>
                <w:b/>
                <w:bCs/>
                <w:i w:val="0"/>
                <w:iCs w:val="0"/>
                <w:color w:val="auto"/>
                <w:kern w:val="0"/>
                <w:sz w:val="22"/>
                <w:szCs w:val="22"/>
                <w:u w:val="none"/>
                <w:shd w:val="clear" w:color="auto" w:fill="auto"/>
                <w:lang w:val="en-US" w:eastAsia="zh-CN" w:bidi="ar"/>
              </w:rPr>
              <w:t>54台</w:t>
            </w:r>
          </w:p>
        </w:tc>
      </w:tr>
    </w:tbl>
    <w:p>
      <w:pPr>
        <w:widowControl/>
        <w:ind w:firstLine="643" w:firstLineChars="200"/>
        <w:jc w:val="center"/>
        <w:rPr>
          <w:rFonts w:hint="eastAsia" w:ascii="宋体" w:hAnsi="宋体" w:cs="宋体"/>
          <w:b/>
          <w:color w:val="auto"/>
          <w:kern w:val="0"/>
          <w:sz w:val="32"/>
          <w:szCs w:val="32"/>
          <w:lang w:val="en-US" w:eastAsia="zh-CN" w:bidi="ar"/>
        </w:rPr>
      </w:pPr>
      <w:r>
        <w:rPr>
          <w:rFonts w:hint="eastAsia" w:ascii="宋体" w:hAnsi="宋体" w:cs="宋体"/>
          <w:b/>
          <w:color w:val="auto"/>
          <w:kern w:val="0"/>
          <w:sz w:val="32"/>
          <w:szCs w:val="32"/>
          <w:lang w:val="en-US" w:eastAsia="zh-CN" w:bidi="ar"/>
        </w:rPr>
        <w:t>项目时间和需求设备数量</w:t>
      </w:r>
    </w:p>
    <w:p>
      <w:pPr>
        <w:numPr>
          <w:ilvl w:val="0"/>
          <w:numId w:val="3"/>
        </w:numPr>
        <w:adjustRightInd w:val="0"/>
        <w:snapToGrid w:val="0"/>
        <w:spacing w:line="360" w:lineRule="auto"/>
        <w:ind w:firstLine="480" w:firstLineChars="200"/>
        <w:rPr>
          <w:rFonts w:hint="eastAsia" w:ascii="黑体" w:hAnsi="黑体" w:eastAsia="黑体" w:cs="黑体"/>
          <w:b w:val="0"/>
          <w:bCs w:val="0"/>
          <w:color w:val="auto"/>
          <w:kern w:val="0"/>
          <w:sz w:val="24"/>
          <w:lang w:val="en-US" w:eastAsia="zh-CN"/>
        </w:rPr>
      </w:pPr>
      <w:r>
        <w:rPr>
          <w:rFonts w:hint="eastAsia" w:ascii="黑体" w:hAnsi="黑体" w:eastAsia="黑体" w:cs="黑体"/>
          <w:b w:val="0"/>
          <w:bCs w:val="0"/>
          <w:color w:val="auto"/>
          <w:kern w:val="0"/>
          <w:sz w:val="24"/>
          <w:lang w:val="en-US" w:eastAsia="zh-CN"/>
        </w:rPr>
        <w:t>项目时间：2023年研究生考试时间为12月23日-24日，12月21日前安装调试完成。</w:t>
      </w:r>
    </w:p>
    <w:p>
      <w:pPr>
        <w:numPr>
          <w:ilvl w:val="0"/>
          <w:numId w:val="3"/>
        </w:numPr>
        <w:adjustRightInd w:val="0"/>
        <w:snapToGrid w:val="0"/>
        <w:spacing w:line="360" w:lineRule="auto"/>
        <w:ind w:firstLine="480" w:firstLineChars="200"/>
        <w:rPr>
          <w:rFonts w:hint="eastAsia" w:ascii="黑体" w:hAnsi="黑体" w:eastAsia="黑体" w:cs="黑体"/>
          <w:b w:val="0"/>
          <w:bCs w:val="0"/>
          <w:color w:val="auto"/>
          <w:kern w:val="0"/>
          <w:sz w:val="24"/>
          <w:lang w:val="en-US"/>
        </w:rPr>
      </w:pPr>
      <w:r>
        <w:rPr>
          <w:rFonts w:hint="eastAsia" w:ascii="黑体" w:hAnsi="黑体" w:eastAsia="黑体" w:cs="黑体"/>
          <w:b w:val="0"/>
          <w:bCs w:val="0"/>
          <w:color w:val="auto"/>
          <w:kern w:val="0"/>
          <w:sz w:val="24"/>
          <w:lang w:val="en-US" w:eastAsia="zh-CN"/>
        </w:rPr>
        <w:t>需求设备数量：</w:t>
      </w:r>
      <w:bookmarkStart w:id="140" w:name="_GoBack"/>
      <w:bookmarkEnd w:id="140"/>
      <w:r>
        <w:rPr>
          <w:rFonts w:hint="eastAsia" w:ascii="黑体" w:hAnsi="黑体" w:eastAsia="黑体" w:cs="黑体"/>
          <w:b w:val="0"/>
          <w:bCs w:val="0"/>
          <w:color w:val="auto"/>
          <w:kern w:val="0"/>
          <w:sz w:val="24"/>
          <w:lang w:val="en-US" w:eastAsia="zh-CN"/>
        </w:rPr>
        <w:t>安检门（HD-2000）4台；屏蔽仪（2018D-CZS60)54个</w:t>
      </w:r>
    </w:p>
    <w:p>
      <w:pPr>
        <w:widowControl/>
        <w:ind w:firstLine="482" w:firstLineChars="200"/>
        <w:jc w:val="left"/>
        <w:rPr>
          <w:color w:val="auto"/>
        </w:rPr>
      </w:pPr>
      <w:r>
        <w:rPr>
          <w:rFonts w:hint="eastAsia" w:ascii="宋体" w:hAnsi="宋体" w:cs="宋体"/>
          <w:b/>
          <w:color w:val="auto"/>
          <w:kern w:val="0"/>
          <w:sz w:val="24"/>
          <w:lang w:bidi="ar"/>
        </w:rPr>
        <w:t xml:space="preserve">四、项目报价要求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1、本项目投标报价是履行合同的最终价格，应包括供应商完成本项目所需的一 </w:t>
      </w:r>
    </w:p>
    <w:p>
      <w:pPr>
        <w:adjustRightInd w:val="0"/>
        <w:snapToGrid w:val="0"/>
        <w:spacing w:line="360" w:lineRule="auto"/>
        <w:rPr>
          <w:rFonts w:hint="eastAsia" w:ascii="Arial" w:hAnsi="Arial" w:cs="仿宋"/>
          <w:color w:val="auto"/>
          <w:kern w:val="0"/>
          <w:sz w:val="24"/>
        </w:rPr>
      </w:pPr>
      <w:r>
        <w:rPr>
          <w:rFonts w:hint="eastAsia" w:ascii="Arial" w:hAnsi="Arial" w:cs="仿宋"/>
          <w:color w:val="auto"/>
          <w:kern w:val="0"/>
          <w:sz w:val="24"/>
        </w:rPr>
        <w:t>切费用</w:t>
      </w:r>
      <w:r>
        <w:rPr>
          <w:rFonts w:hint="eastAsia" w:ascii="Arial" w:hAnsi="Arial" w:cs="仿宋"/>
          <w:color w:val="auto"/>
          <w:kern w:val="0"/>
          <w:sz w:val="24"/>
          <w:lang w:eastAsia="zh-CN"/>
        </w:rPr>
        <w:t>（现场需供应商自行实地考察）</w:t>
      </w:r>
      <w:r>
        <w:rPr>
          <w:rFonts w:hint="eastAsia" w:ascii="Arial" w:hAnsi="Arial" w:cs="仿宋"/>
          <w:color w:val="auto"/>
          <w:kern w:val="0"/>
          <w:sz w:val="24"/>
        </w:rPr>
        <w:t xml:space="preserve">，采购人不再支付任何费用；投标报价估算错误等引起的风险由投标人自行承担。 </w:t>
      </w:r>
    </w:p>
    <w:p>
      <w:pPr>
        <w:adjustRightInd w:val="0"/>
        <w:snapToGrid w:val="0"/>
        <w:spacing w:line="360" w:lineRule="auto"/>
        <w:ind w:firstLine="480" w:firstLineChars="200"/>
        <w:rPr>
          <w:color w:val="auto"/>
        </w:rPr>
      </w:pPr>
      <w:r>
        <w:rPr>
          <w:rFonts w:hint="eastAsia" w:ascii="Arial" w:hAnsi="Arial" w:cs="仿宋"/>
          <w:color w:val="auto"/>
          <w:kern w:val="0"/>
          <w:sz w:val="24"/>
        </w:rPr>
        <w:t>2、预算控制价金额</w:t>
      </w:r>
      <w:r>
        <w:rPr>
          <w:rFonts w:hint="eastAsia" w:ascii="Arial" w:hAnsi="Arial" w:cs="仿宋"/>
          <w:color w:val="auto"/>
          <w:kern w:val="0"/>
          <w:sz w:val="24"/>
          <w:lang w:val="en-US" w:eastAsia="zh-CN"/>
        </w:rPr>
        <w:t>5.76万</w:t>
      </w:r>
      <w:r>
        <w:rPr>
          <w:rFonts w:hint="eastAsia" w:ascii="Arial" w:hAnsi="Arial" w:cs="仿宋"/>
          <w:color w:val="auto"/>
          <w:kern w:val="0"/>
          <w:sz w:val="24"/>
        </w:rPr>
        <w:t>元，供应商报价需符合预算控制价要求，超出预算控制价的报价为无效投标。</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 xml:space="preserve">1、本项目需要供应商将产品送至采购人指定地点并按照采购人要求进行安装、调试。（供应商须提供承诺函原件并加盖鲜章） </w:t>
      </w:r>
    </w:p>
    <w:p>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投标人的服务承诺应按不低于招标文件中提出的所有服务要求的标准做出响应。 </w:t>
      </w:r>
    </w:p>
    <w:p>
      <w:pPr>
        <w:adjustRightInd w:val="0"/>
        <w:snapToGrid w:val="0"/>
        <w:spacing w:line="360" w:lineRule="auto"/>
        <w:rPr>
          <w:rFonts w:hint="eastAsia" w:ascii="Arial" w:hAnsi="Arial" w:cs="仿宋"/>
          <w:color w:val="auto"/>
          <w:kern w:val="0"/>
          <w:sz w:val="24"/>
        </w:rPr>
      </w:pPr>
      <w:r>
        <w:rPr>
          <w:rFonts w:hint="eastAsia" w:ascii="Arial" w:hAnsi="Arial" w:cs="仿宋"/>
          <w:color w:val="auto"/>
          <w:kern w:val="0"/>
          <w:sz w:val="24"/>
        </w:rPr>
        <w:t xml:space="preserve">其基本服务要求如下：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质保期内，严格按国家三包法要求完成售后服务。 </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投标文件及投标人承诺的质量、技术和其他要求，符合国家相关的质量标准和出 </w:t>
      </w:r>
    </w:p>
    <w:p>
      <w:pPr>
        <w:adjustRightInd w:val="0"/>
        <w:snapToGrid w:val="0"/>
        <w:spacing w:line="360" w:lineRule="auto"/>
        <w:rPr>
          <w:rFonts w:hint="eastAsia" w:ascii="Arial" w:hAnsi="Arial" w:cs="仿宋"/>
          <w:color w:val="auto"/>
          <w:kern w:val="0"/>
          <w:sz w:val="24"/>
        </w:rPr>
      </w:pPr>
      <w:r>
        <w:rPr>
          <w:rFonts w:hint="eastAsia" w:ascii="Arial" w:hAnsi="Arial" w:cs="仿宋"/>
          <w:color w:val="auto"/>
          <w:kern w:val="0"/>
          <w:sz w:val="24"/>
        </w:rPr>
        <w:t xml:space="preserve">厂标准。 </w:t>
      </w:r>
    </w:p>
    <w:p>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auto"/>
          <w:kern w:val="0"/>
          <w:sz w:val="24"/>
          <w:lang w:val="en-US" w:eastAsia="zh-CN"/>
        </w:rPr>
        <w:t>2023年12月21日前完成安装、调试</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2、项目实施地点：西昌民族幼儿师范高等专科学校。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采购人与成交供应商应严格按照《财政部关于进一步加强政府采购需求和履约验 </w:t>
      </w:r>
    </w:p>
    <w:p>
      <w:pPr>
        <w:adjustRightInd w:val="0"/>
        <w:snapToGrid w:val="0"/>
        <w:spacing w:line="360" w:lineRule="auto"/>
        <w:rPr>
          <w:rFonts w:hint="eastAsia" w:ascii="Arial" w:hAnsi="Arial" w:cs="仿宋"/>
          <w:color w:val="auto"/>
          <w:kern w:val="0"/>
          <w:sz w:val="24"/>
        </w:rPr>
      </w:pPr>
      <w:r>
        <w:rPr>
          <w:rFonts w:hint="eastAsia" w:ascii="Arial" w:hAnsi="Arial" w:cs="仿宋"/>
          <w:color w:val="auto"/>
          <w:kern w:val="0"/>
          <w:sz w:val="24"/>
        </w:rPr>
        <w:t>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 xml:space="preserve">文件规定的要求和投 </w:t>
      </w:r>
    </w:p>
    <w:p>
      <w:pPr>
        <w:adjustRightInd w:val="0"/>
        <w:snapToGrid w:val="0"/>
        <w:spacing w:line="360" w:lineRule="auto"/>
        <w:rPr>
          <w:color w:val="auto"/>
        </w:rPr>
      </w:pPr>
      <w:r>
        <w:rPr>
          <w:rFonts w:hint="eastAsia" w:ascii="Arial" w:hAnsi="Arial" w:cs="仿宋"/>
          <w:color w:val="auto"/>
          <w:kern w:val="0"/>
          <w:sz w:val="24"/>
        </w:rPr>
        <w:t>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 xml:space="preserve">文件要求、招标承诺的原则下， </w:t>
      </w:r>
    </w:p>
    <w:p>
      <w:pPr>
        <w:adjustRightInd w:val="0"/>
        <w:snapToGrid w:val="0"/>
        <w:spacing w:line="360" w:lineRule="auto"/>
        <w:rPr>
          <w:color w:val="auto"/>
        </w:rPr>
      </w:pPr>
      <w:r>
        <w:rPr>
          <w:rFonts w:hint="eastAsia" w:ascii="Arial" w:hAnsi="Arial" w:cs="仿宋"/>
          <w:color w:val="auto"/>
          <w:kern w:val="0"/>
          <w:sz w:val="24"/>
        </w:rPr>
        <w:t>就具体条款进行修改和增减。</w:t>
      </w:r>
      <w:r>
        <w:rPr>
          <w:rFonts w:hint="eastAsia" w:ascii="宋体" w:hAnsi="宋体" w:cs="宋体"/>
          <w:color w:val="auto"/>
          <w:kern w:val="0"/>
          <w:sz w:val="24"/>
          <w:lang w:bidi="ar"/>
        </w:rPr>
        <w:t xml:space="preserve"> </w:t>
      </w:r>
    </w:p>
    <w:p>
      <w:pPr>
        <w:widowControl/>
        <w:ind w:firstLine="482" w:firstLineChars="200"/>
        <w:jc w:val="left"/>
        <w:rPr>
          <w:rFonts w:hint="eastAsia" w:ascii="Arial" w:hAnsi="Arial" w:cs="仿宋"/>
          <w:color w:val="auto"/>
          <w:kern w:val="0"/>
          <w:sz w:val="24"/>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lang w:val="en-US" w:eastAsia="zh-CN"/>
        </w:rPr>
        <w:t>1</w:t>
      </w:r>
      <w:r>
        <w:rPr>
          <w:rFonts w:hint="eastAsia" w:ascii="Arial" w:hAnsi="Arial" w:cs="仿宋"/>
          <w:color w:val="auto"/>
          <w:kern w:val="0"/>
          <w:sz w:val="24"/>
        </w:rPr>
        <w:t>、</w:t>
      </w:r>
      <w:r>
        <w:rPr>
          <w:rFonts w:hint="eastAsia" w:ascii="Arial" w:hAnsi="Arial" w:cs="仿宋"/>
          <w:color w:val="auto"/>
          <w:kern w:val="0"/>
          <w:sz w:val="24"/>
          <w:lang w:eastAsia="zh-CN"/>
        </w:rPr>
        <w:t>租赁结束后</w:t>
      </w:r>
      <w:r>
        <w:rPr>
          <w:rFonts w:hint="eastAsia" w:ascii="Arial" w:hAnsi="Arial" w:cs="仿宋"/>
          <w:color w:val="auto"/>
          <w:kern w:val="0"/>
          <w:sz w:val="24"/>
        </w:rPr>
        <w:t xml:space="preserve">，甲方接到乙方通知与票据凭证资料以后 </w:t>
      </w:r>
      <w:r>
        <w:rPr>
          <w:rFonts w:hint="eastAsia" w:ascii="Arial" w:hAnsi="Arial" w:cs="仿宋"/>
          <w:color w:val="auto"/>
          <w:kern w:val="0"/>
          <w:sz w:val="24"/>
          <w:lang w:val="en-US" w:eastAsia="zh-CN"/>
        </w:rPr>
        <w:t>15</w:t>
      </w:r>
      <w:r>
        <w:rPr>
          <w:rFonts w:hint="eastAsia" w:ascii="Arial" w:hAnsi="Arial" w:cs="仿宋"/>
          <w:color w:val="auto"/>
          <w:kern w:val="0"/>
          <w:sz w:val="24"/>
        </w:rPr>
        <w:t xml:space="preserve"> 个工作日内，向乙方支付合同总价款的 100% </w:t>
      </w:r>
    </w:p>
    <w:p>
      <w:pPr>
        <w:adjustRightInd w:val="0"/>
        <w:snapToGrid w:val="0"/>
        <w:spacing w:line="360" w:lineRule="auto"/>
        <w:ind w:firstLine="480" w:firstLineChars="200"/>
        <w:rPr>
          <w:rFonts w:hint="eastAsia"/>
          <w:color w:val="auto"/>
        </w:rPr>
      </w:pPr>
      <w:r>
        <w:rPr>
          <w:rFonts w:hint="eastAsia" w:ascii="Arial" w:hAnsi="Arial" w:cs="仿宋"/>
          <w:color w:val="auto"/>
          <w:kern w:val="0"/>
          <w:sz w:val="24"/>
        </w:rPr>
        <w:t>3、乙方须向甲方出具合法有效完整的完税发票及凭证资料进行支付结算。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64"/>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64"/>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64"/>
        <w:ind w:firstLine="600" w:firstLineChars="250"/>
        <w:rPr>
          <w:rFonts w:hint="eastAsia" w:ascii="宋体" w:hAnsi="宋体"/>
          <w:color w:val="auto"/>
          <w:sz w:val="24"/>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64"/>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64"/>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64"/>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报名时间为：20</w:t>
      </w:r>
      <w:r>
        <w:rPr>
          <w:rFonts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13</w:t>
      </w:r>
      <w:r>
        <w:rPr>
          <w:rFonts w:hint="eastAsia" w:ascii="宋体" w:hAnsi="宋体"/>
          <w:color w:val="auto"/>
          <w:sz w:val="24"/>
        </w:rPr>
        <w:t>日到202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15</w:t>
      </w:r>
      <w:r>
        <w:rPr>
          <w:rFonts w:hint="eastAsia" w:ascii="宋体" w:hAnsi="宋体"/>
          <w:color w:val="auto"/>
          <w:sz w:val="24"/>
        </w:rPr>
        <w:t>日，每日09：00到17：00</w:t>
      </w:r>
      <w:r>
        <w:rPr>
          <w:rFonts w:hint="eastAsia" w:ascii="宋体" w:hAnsi="宋体"/>
          <w:color w:val="auto"/>
          <w:sz w:val="24"/>
          <w:lang w:eastAsia="zh-CN"/>
        </w:rPr>
        <w:t>前</w:t>
      </w:r>
      <w:r>
        <w:rPr>
          <w:rFonts w:hint="eastAsia" w:hAnsi="宋体" w:cs="宋体"/>
          <w:color w:val="auto"/>
          <w:sz w:val="24"/>
          <w:szCs w:val="24"/>
        </w:rPr>
        <w:t>在网上获取</w:t>
      </w:r>
      <w:r>
        <w:rPr>
          <w:rFonts w:hint="eastAsia" w:ascii="宋体" w:hAnsi="宋体"/>
          <w:color w:val="auto"/>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获取方式：网上办理：(1)请供应商先自行下载公告附件中的《报名信息登记表》，并按相关要求填写信息(单位名称、经办人姓名、经办人手机号、单位座机及传真号、电子邮箱、包号等)。（2）将已填写的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ascii="宋体" w:hAnsi="宋体"/>
          <w:bCs/>
          <w:color w:val="auto"/>
          <w:sz w:val="24"/>
        </w:rPr>
        <w:t>202</w:t>
      </w:r>
      <w:r>
        <w:rPr>
          <w:rFonts w:hint="eastAsia" w:ascii="宋体" w:hAnsi="宋体"/>
          <w:bCs/>
          <w:color w:val="auto"/>
          <w:sz w:val="24"/>
          <w:lang w:val="en-US" w:eastAsia="zh-CN"/>
        </w:rPr>
        <w:t>3</w:t>
      </w:r>
      <w:r>
        <w:rPr>
          <w:rFonts w:hint="eastAsia" w:ascii="宋体" w:hAnsi="宋体"/>
          <w:bCs/>
          <w:color w:val="auto"/>
          <w:sz w:val="24"/>
        </w:rPr>
        <w:t>年</w:t>
      </w:r>
      <w:r>
        <w:rPr>
          <w:rFonts w:hint="eastAsia" w:ascii="宋体" w:hAnsi="宋体"/>
          <w:bCs/>
          <w:color w:val="auto"/>
          <w:sz w:val="24"/>
          <w:lang w:val="en-US" w:eastAsia="zh-CN"/>
        </w:rPr>
        <w:t>11</w:t>
      </w:r>
      <w:r>
        <w:rPr>
          <w:rFonts w:hint="eastAsia" w:ascii="宋体" w:hAnsi="宋体"/>
          <w:bCs/>
          <w:color w:val="auto"/>
          <w:sz w:val="24"/>
        </w:rPr>
        <w:t>月</w:t>
      </w:r>
      <w:r>
        <w:rPr>
          <w:rFonts w:hint="eastAsia" w:ascii="宋体" w:hAnsi="宋体"/>
          <w:bCs/>
          <w:color w:val="auto"/>
          <w:sz w:val="24"/>
          <w:lang w:val="en-US" w:eastAsia="zh-CN"/>
        </w:rPr>
        <w:t>17</w:t>
      </w:r>
      <w:r>
        <w:rPr>
          <w:rFonts w:hint="eastAsia" w:ascii="宋体" w:hAnsi="宋体"/>
          <w:bCs/>
          <w:color w:val="auto"/>
          <w:sz w:val="24"/>
        </w:rPr>
        <w:t>日1</w:t>
      </w:r>
      <w:r>
        <w:rPr>
          <w:rFonts w:hint="eastAsia" w:ascii="宋体" w:hAnsi="宋体"/>
          <w:bCs/>
          <w:color w:val="auto"/>
          <w:sz w:val="24"/>
          <w:lang w:val="en-US" w:eastAsia="zh-CN"/>
        </w:rPr>
        <w:t>5</w:t>
      </w:r>
      <w:r>
        <w:rPr>
          <w:rFonts w:hint="eastAsia" w:ascii="宋体" w:hAnsi="宋体"/>
          <w:bCs/>
          <w:color w:val="auto"/>
          <w:sz w:val="24"/>
        </w:rPr>
        <w:t xml:space="preserve">时 </w:t>
      </w:r>
      <w:r>
        <w:rPr>
          <w:rFonts w:hint="eastAsia" w:ascii="宋体" w:hAnsi="宋体"/>
          <w:bCs/>
          <w:color w:val="auto"/>
          <w:sz w:val="24"/>
          <w:lang w:val="en-US" w:eastAsia="zh-CN"/>
        </w:rPr>
        <w:t>00</w:t>
      </w:r>
      <w:r>
        <w:rPr>
          <w:rFonts w:hint="eastAsia" w:ascii="宋体" w:hAnsi="宋体"/>
          <w:bCs/>
          <w:color w:val="auto"/>
          <w:sz w:val="24"/>
        </w:rPr>
        <w:t>分</w:t>
      </w:r>
      <w:r>
        <w:rPr>
          <w:rFonts w:ascii="宋体" w:hAnsi="宋体"/>
          <w:color w:val="auto"/>
          <w:sz w:val="24"/>
          <w:szCs w:val="28"/>
        </w:rPr>
        <w:t>（北京时间）</w:t>
      </w:r>
      <w:r>
        <w:rPr>
          <w:rFonts w:hint="eastAsia" w:ascii="宋体" w:hAnsi="宋体"/>
          <w:color w:val="auto"/>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行政楼1506</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ascii="宋体" w:hAnsi="宋体"/>
          <w:bCs/>
          <w:color w:val="auto"/>
          <w:sz w:val="24"/>
        </w:rPr>
        <w:t>202</w:t>
      </w:r>
      <w:r>
        <w:rPr>
          <w:rFonts w:hint="eastAsia" w:ascii="宋体" w:hAnsi="宋体"/>
          <w:bCs/>
          <w:color w:val="auto"/>
          <w:sz w:val="24"/>
          <w:lang w:val="en-US" w:eastAsia="zh-CN"/>
        </w:rPr>
        <w:t>3</w:t>
      </w:r>
      <w:r>
        <w:rPr>
          <w:rFonts w:hint="eastAsia" w:ascii="宋体" w:hAnsi="宋体"/>
          <w:bCs/>
          <w:color w:val="auto"/>
          <w:sz w:val="24"/>
        </w:rPr>
        <w:t>年</w:t>
      </w:r>
      <w:r>
        <w:rPr>
          <w:rFonts w:hint="eastAsia" w:ascii="宋体" w:hAnsi="宋体"/>
          <w:bCs/>
          <w:color w:val="auto"/>
          <w:sz w:val="24"/>
          <w:lang w:val="en-US" w:eastAsia="zh-CN"/>
        </w:rPr>
        <w:t>11</w:t>
      </w:r>
      <w:r>
        <w:rPr>
          <w:rFonts w:hint="eastAsia" w:ascii="宋体" w:hAnsi="宋体"/>
          <w:bCs/>
          <w:color w:val="auto"/>
          <w:sz w:val="24"/>
        </w:rPr>
        <w:t>月</w:t>
      </w:r>
      <w:r>
        <w:rPr>
          <w:rFonts w:hint="eastAsia" w:ascii="宋体" w:hAnsi="宋体"/>
          <w:bCs/>
          <w:color w:val="auto"/>
          <w:sz w:val="24"/>
          <w:lang w:val="en-US" w:eastAsia="zh-CN"/>
        </w:rPr>
        <w:t>17</w:t>
      </w:r>
      <w:r>
        <w:rPr>
          <w:rFonts w:hint="eastAsia" w:ascii="宋体" w:hAnsi="宋体"/>
          <w:bCs/>
          <w:color w:val="auto"/>
          <w:sz w:val="24"/>
        </w:rPr>
        <w:t>日1</w:t>
      </w:r>
      <w:r>
        <w:rPr>
          <w:rFonts w:hint="eastAsia" w:ascii="宋体" w:hAnsi="宋体"/>
          <w:bCs/>
          <w:color w:val="auto"/>
          <w:sz w:val="24"/>
          <w:lang w:val="en-US" w:eastAsia="zh-CN"/>
        </w:rPr>
        <w:t>5</w:t>
      </w:r>
      <w:r>
        <w:rPr>
          <w:rFonts w:hint="eastAsia" w:ascii="宋体" w:hAnsi="宋体"/>
          <w:bCs/>
          <w:color w:val="auto"/>
          <w:sz w:val="24"/>
        </w:rPr>
        <w:t>时</w:t>
      </w:r>
      <w:r>
        <w:rPr>
          <w:rFonts w:hint="eastAsia" w:ascii="宋体" w:hAnsi="宋体"/>
          <w:bCs/>
          <w:color w:val="auto"/>
          <w:sz w:val="24"/>
          <w:lang w:val="en-US" w:eastAsia="zh-CN"/>
        </w:rPr>
        <w:t>00</w:t>
      </w:r>
      <w:r>
        <w:rPr>
          <w:rFonts w:hint="eastAsia" w:ascii="宋体" w:hAnsi="宋体"/>
          <w:bCs/>
          <w:color w:val="auto"/>
          <w:sz w:val="24"/>
        </w:rPr>
        <w:t>分</w:t>
      </w:r>
      <w:r>
        <w:rPr>
          <w:rFonts w:ascii="宋体" w:hAnsi="宋体"/>
          <w:color w:val="auto"/>
          <w:sz w:val="24"/>
          <w:szCs w:val="28"/>
        </w:rPr>
        <w:t>（北京时间）</w:t>
      </w:r>
      <w:r>
        <w:rPr>
          <w:rFonts w:hint="eastAsia" w:ascii="宋体" w:hAnsi="宋体"/>
          <w:color w:val="auto"/>
          <w:sz w:val="24"/>
          <w:szCs w:val="28"/>
        </w:rPr>
        <w:t>。</w:t>
      </w:r>
    </w:p>
    <w:p>
      <w:pPr>
        <w:pStyle w:val="64"/>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2"/>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64"/>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64"/>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eastAsia="zh-CN"/>
        </w:rPr>
        <w:t>白</w:t>
      </w:r>
      <w:r>
        <w:rPr>
          <w:rFonts w:hint="eastAsia" w:ascii="Arial" w:hAnsi="Arial"/>
          <w:color w:val="auto"/>
          <w:sz w:val="24"/>
        </w:rPr>
        <w:t>老师</w:t>
      </w:r>
    </w:p>
    <w:p>
      <w:pPr>
        <w:pStyle w:val="64"/>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35" w:name="_Toc213396759"/>
      <w:bookmarkStart w:id="36" w:name="_Toc213396945"/>
      <w:bookmarkStart w:id="37" w:name="_Toc508697771"/>
      <w:bookmarkStart w:id="38" w:name="_Toc508697732"/>
      <w:bookmarkStart w:id="39" w:name="_Toc213496267"/>
      <w:bookmarkStart w:id="40" w:name="_Toc217446031"/>
      <w:bookmarkStart w:id="41" w:name="_Toc213397009"/>
    </w:p>
    <w:p>
      <w:pPr>
        <w:pStyle w:val="64"/>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rPr>
        <w:t>202</w:t>
      </w:r>
      <w:r>
        <w:rPr>
          <w:rFonts w:hint="eastAsia" w:ascii="宋体" w:hAnsi="宋体" w:cs="仿宋_GB2312"/>
          <w:color w:val="auto"/>
          <w:sz w:val="24"/>
          <w:lang w:val="en-US" w:eastAsia="zh-CN"/>
        </w:rPr>
        <w:t>3</w:t>
      </w:r>
      <w:r>
        <w:rPr>
          <w:rFonts w:hint="eastAsia" w:ascii="宋体" w:hAnsi="宋体" w:cs="仿宋_GB2312"/>
          <w:color w:val="auto"/>
          <w:sz w:val="24"/>
        </w:rPr>
        <w:t>年</w:t>
      </w:r>
      <w:r>
        <w:rPr>
          <w:rFonts w:hint="eastAsia" w:ascii="宋体" w:hAnsi="宋体" w:cs="仿宋_GB2312"/>
          <w:color w:val="auto"/>
          <w:sz w:val="24"/>
          <w:lang w:val="en-US" w:eastAsia="zh-CN"/>
        </w:rPr>
        <w:t>11</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42" w:name="_Toc60142197"/>
      <w:bookmarkStart w:id="43" w:name="_Toc27398"/>
      <w:bookmarkStart w:id="44" w:name="_Toc515536911"/>
      <w:bookmarkStart w:id="45" w:name="_Toc12168"/>
      <w:r>
        <w:rPr>
          <w:rFonts w:hint="eastAsia" w:ascii="Times New Roman" w:hAnsi="Times New Roman" w:eastAsia="宋体" w:cs="Times New Roman"/>
          <w:b/>
          <w:bCs/>
          <w:color w:val="auto"/>
          <w:kern w:val="44"/>
          <w:sz w:val="36"/>
          <w:szCs w:val="44"/>
          <w:lang w:val="en-US" w:eastAsia="zh-CN" w:bidi="ar-SA"/>
        </w:rPr>
        <w:t>第二章  询价须知</w:t>
      </w:r>
      <w:bookmarkEnd w:id="35"/>
      <w:bookmarkEnd w:id="36"/>
      <w:bookmarkEnd w:id="37"/>
      <w:bookmarkEnd w:id="38"/>
      <w:bookmarkEnd w:id="39"/>
      <w:bookmarkEnd w:id="40"/>
      <w:bookmarkEnd w:id="41"/>
      <w:bookmarkEnd w:id="42"/>
      <w:bookmarkEnd w:id="43"/>
      <w:bookmarkEnd w:id="44"/>
      <w:bookmarkEnd w:id="45"/>
    </w:p>
    <w:p>
      <w:pPr>
        <w:spacing w:after="96" w:afterLines="40"/>
        <w:ind w:firstLine="465"/>
        <w:textAlignment w:val="baseline"/>
        <w:rPr>
          <w:rFonts w:ascii="等线" w:hAnsi="等线" w:eastAsia="等线" w:cs="等线"/>
          <w:color w:val="auto"/>
          <w:sz w:val="24"/>
        </w:rPr>
      </w:pPr>
      <w:bookmarkStart w:id="46" w:name="_Toc515536912"/>
      <w:bookmarkStart w:id="47" w:name="_Toc26829"/>
      <w:bookmarkStart w:id="48" w:name="_Toc10953"/>
      <w:bookmarkStart w:id="49" w:name="_Toc183682368"/>
      <w:bookmarkStart w:id="50" w:name="_Toc77400782"/>
      <w:bookmarkStart w:id="51" w:name="_Toc89075878"/>
      <w:bookmarkStart w:id="52" w:name="_Toc217446056"/>
      <w:bookmarkStart w:id="53" w:name="_Toc183582231"/>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auto"/>
          <w:sz w:val="24"/>
          <w:lang w:eastAsia="zh-CN"/>
        </w:rPr>
        <w:t>询价</w:t>
      </w:r>
      <w:r>
        <w:rPr>
          <w:rFonts w:hint="eastAsia" w:ascii="宋体" w:hAnsi="宋体"/>
          <w:color w:val="auto"/>
          <w:sz w:val="24"/>
        </w:rPr>
        <w:t>响应文件一式二份（正本1份，副本1份）必须打印,并由供应商的法定代表人或其授权代表在规定签章处签字和盖章。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2"/>
        <w:rPr>
          <w:color w:val="auto"/>
        </w:rPr>
      </w:pPr>
      <w:r>
        <w:rPr>
          <w:rFonts w:ascii="宋体" w:hAnsi="宋体" w:cs="宋体"/>
          <w:color w:val="auto"/>
          <w:sz w:val="24"/>
        </w:rPr>
        <w:br w:type="page"/>
      </w:r>
      <w:bookmarkStart w:id="54" w:name="_Toc60142198"/>
      <w:r>
        <w:rPr>
          <w:rFonts w:hint="eastAsia"/>
          <w:color w:val="auto"/>
        </w:rPr>
        <w:t>第三章  评选程序</w:t>
      </w:r>
      <w:bookmarkEnd w:id="54"/>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2"/>
        <w:spacing w:line="276" w:lineRule="auto"/>
        <w:rPr>
          <w:color w:val="auto"/>
        </w:rPr>
      </w:pPr>
    </w:p>
    <w:p>
      <w:pPr>
        <w:pStyle w:val="2"/>
        <w:rPr>
          <w:rFonts w:hint="eastAsia"/>
          <w:color w:val="auto"/>
        </w:rPr>
      </w:pPr>
      <w:r>
        <w:rPr>
          <w:color w:val="auto"/>
        </w:rPr>
        <w:br w:type="page"/>
      </w:r>
      <w:bookmarkStart w:id="55" w:name="_Toc60142199"/>
      <w:r>
        <w:rPr>
          <w:rFonts w:hint="eastAsia"/>
          <w:color w:val="auto"/>
        </w:rPr>
        <w:t>第四章 供应商资格条件要求</w:t>
      </w:r>
      <w:bookmarkEnd w:id="46"/>
      <w:bookmarkEnd w:id="47"/>
      <w:bookmarkEnd w:id="48"/>
      <w:bookmarkEnd w:id="55"/>
    </w:p>
    <w:p>
      <w:pPr>
        <w:spacing w:line="360" w:lineRule="auto"/>
        <w:ind w:firstLine="542" w:firstLineChars="225"/>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一、参加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64"/>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64"/>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64"/>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64"/>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64"/>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64"/>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56" w:name="_Toc6181"/>
      <w:bookmarkStart w:id="57" w:name="_Toc60142200"/>
      <w:bookmarkStart w:id="58" w:name="_Toc515536913"/>
      <w:bookmarkStart w:id="59" w:name="_Toc4504"/>
      <w:r>
        <w:rPr>
          <w:rFonts w:hint="eastAsia" w:ascii="宋体" w:hAnsi="宋体"/>
          <w:b/>
          <w:color w:val="auto"/>
          <w:sz w:val="32"/>
          <w:szCs w:val="32"/>
        </w:rPr>
        <w:t>第五章  供应商资格证明材料</w:t>
      </w:r>
      <w:bookmarkEnd w:id="56"/>
      <w:bookmarkEnd w:id="57"/>
      <w:bookmarkEnd w:id="58"/>
      <w:bookmarkEnd w:id="59"/>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10"/>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10"/>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2"/>
        <w:rPr>
          <w:rFonts w:hint="eastAsia"/>
          <w:color w:val="auto"/>
        </w:rPr>
      </w:pPr>
      <w:r>
        <w:rPr>
          <w:color w:val="auto"/>
          <w:sz w:val="32"/>
          <w:szCs w:val="32"/>
        </w:rPr>
        <w:br w:type="page"/>
      </w:r>
      <w:bookmarkStart w:id="60" w:name="_Toc355"/>
      <w:bookmarkStart w:id="61" w:name="_Toc13763"/>
      <w:bookmarkStart w:id="62" w:name="_Toc515536914"/>
      <w:bookmarkStart w:id="63" w:name="_Toc60142201"/>
      <w:r>
        <w:rPr>
          <w:rFonts w:hint="eastAsia"/>
          <w:color w:val="auto"/>
          <w:szCs w:val="36"/>
        </w:rPr>
        <w:t xml:space="preserve">第六章  </w:t>
      </w:r>
      <w:bookmarkEnd w:id="49"/>
      <w:bookmarkEnd w:id="50"/>
      <w:bookmarkEnd w:id="51"/>
      <w:bookmarkEnd w:id="52"/>
      <w:bookmarkEnd w:id="53"/>
      <w:bookmarkEnd w:id="60"/>
      <w:bookmarkEnd w:id="61"/>
      <w:bookmarkEnd w:id="62"/>
      <w:bookmarkStart w:id="64" w:name="_Toc19941"/>
      <w:bookmarkStart w:id="65" w:name="_Toc16063"/>
      <w:bookmarkStart w:id="66" w:name="_Toc515536917"/>
      <w:bookmarkStart w:id="67" w:name="_Toc183682369"/>
      <w:bookmarkStart w:id="68" w:name="_Toc217446057"/>
      <w:bookmarkStart w:id="69" w:name="_Toc183582232"/>
      <w:r>
        <w:rPr>
          <w:rFonts w:hint="eastAsia"/>
          <w:color w:val="auto"/>
        </w:rPr>
        <w:t>响应文件格式</w:t>
      </w:r>
      <w:bookmarkEnd w:id="63"/>
      <w:bookmarkEnd w:id="64"/>
      <w:bookmarkEnd w:id="65"/>
      <w:bookmarkEnd w:id="66"/>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一、本章所制响应文件格式，除格式中明确将该格式作为实质性要求的，一律不具有强制性。</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10"/>
        <w:spacing w:after="0" w:line="360" w:lineRule="auto"/>
        <w:ind w:firstLine="480"/>
        <w:rPr>
          <w:rFonts w:hint="eastAsia" w:ascii="宋体" w:hAnsi="宋体"/>
          <w:color w:val="auto"/>
          <w:kern w:val="2"/>
          <w:sz w:val="24"/>
        </w:rPr>
      </w:pPr>
      <w:r>
        <w:rPr>
          <w:rFonts w:hint="eastAsia" w:ascii="宋体" w:hAnsi="宋体"/>
          <w:color w:val="auto"/>
          <w:kern w:val="2"/>
          <w:sz w:val="24"/>
        </w:rPr>
        <w:t>四、响应文件正本中所提供的复印件均应加盖供应商单位鲜章</w:t>
      </w:r>
    </w:p>
    <w:p>
      <w:pPr>
        <w:pStyle w:val="10"/>
        <w:spacing w:after="0" w:line="360" w:lineRule="auto"/>
        <w:ind w:firstLine="480"/>
        <w:rPr>
          <w:rFonts w:hint="eastAsia" w:ascii="宋体" w:hAnsi="宋体" w:eastAsia="宋体" w:cs="Times New Roman"/>
          <w:color w:val="auto"/>
          <w:kern w:val="2"/>
          <w:sz w:val="24"/>
          <w:lang w:eastAsia="zh-CN"/>
        </w:rPr>
      </w:pPr>
      <w:r>
        <w:rPr>
          <w:rFonts w:hint="eastAsia" w:ascii="宋体" w:hAnsi="宋体"/>
          <w:color w:val="auto"/>
          <w:kern w:val="2"/>
          <w:sz w:val="24"/>
          <w:lang w:eastAsia="zh-CN"/>
        </w:rPr>
        <w:t>五、报价函中须明确产品名称、</w:t>
      </w:r>
      <w:r>
        <w:rPr>
          <w:rFonts w:hint="eastAsia" w:ascii="宋体" w:hAnsi="宋体" w:eastAsia="宋体" w:cs="Times New Roman"/>
          <w:color w:val="auto"/>
          <w:kern w:val="2"/>
          <w:sz w:val="24"/>
          <w:lang w:val="en-US" w:eastAsia="zh-CN"/>
        </w:rPr>
        <w:t>生产厂家及品牌、规格型号、数量、单价、单项小计等相关参数。</w:t>
      </w:r>
    </w:p>
    <w:p>
      <w:pPr>
        <w:pStyle w:val="10"/>
        <w:spacing w:after="0" w:line="360" w:lineRule="auto"/>
        <w:ind w:firstLine="480"/>
        <w:rPr>
          <w:rFonts w:hint="eastAsia" w:ascii="宋体" w:hAnsi="宋体" w:eastAsia="宋体"/>
          <w:color w:val="auto"/>
          <w:kern w:val="2"/>
          <w:sz w:val="24"/>
          <w:lang w:eastAsia="zh-CN"/>
        </w:rPr>
      </w:pPr>
    </w:p>
    <w:p>
      <w:pPr>
        <w:pStyle w:val="10"/>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10"/>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10"/>
        <w:spacing w:line="360" w:lineRule="auto"/>
        <w:rPr>
          <w:rFonts w:hint="eastAsia"/>
          <w:color w:val="auto"/>
        </w:rPr>
      </w:pPr>
    </w:p>
    <w:p>
      <w:pPr>
        <w:spacing w:line="360" w:lineRule="auto"/>
        <w:jc w:val="center"/>
        <w:rPr>
          <w:rFonts w:ascii="等线" w:hAnsi="等线" w:eastAsia="等线" w:cs="Arial Unicode MS"/>
          <w:b/>
          <w:color w:val="auto"/>
          <w:sz w:val="38"/>
        </w:rPr>
      </w:pPr>
    </w:p>
    <w:p>
      <w:pPr>
        <w:pStyle w:val="10"/>
        <w:jc w:val="center"/>
        <w:rPr>
          <w:rFonts w:hint="eastAsia" w:ascii="黑体" w:hAnsi="黑体" w:eastAsia="黑体" w:cs="Arial Unicode MS"/>
          <w:b/>
          <w:sz w:val="44"/>
          <w:szCs w:val="44"/>
        </w:rPr>
      </w:pPr>
      <w:r>
        <w:rPr>
          <w:rFonts w:hint="eastAsia" w:ascii="Arial Unicode MS" w:hAnsi="Arial Unicode MS" w:eastAsia="Arial Unicode MS" w:cs="Arial Unicode MS"/>
          <w:color w:val="auto"/>
          <w:sz w:val="44"/>
          <w:szCs w:val="44"/>
        </w:rPr>
        <w:t>西昌民族幼儿师范高等专科学校</w:t>
      </w:r>
      <w:r>
        <w:rPr>
          <w:rFonts w:hint="eastAsia" w:ascii="Arial Unicode MS" w:hAnsi="Arial Unicode MS" w:eastAsia="Arial Unicode MS" w:cs="Arial Unicode MS"/>
          <w:sz w:val="44"/>
          <w:szCs w:val="44"/>
          <w:lang w:val="en-US" w:eastAsia="zh-CN"/>
        </w:rPr>
        <w:t>2023年研究生考试智能安检门、屏蔽仪</w:t>
      </w:r>
      <w:r>
        <w:rPr>
          <w:rFonts w:hint="eastAsia" w:ascii="Arial Unicode MS" w:hAnsi="Arial Unicode MS" w:eastAsia="Arial Unicode MS" w:cs="Arial Unicode MS"/>
          <w:sz w:val="44"/>
          <w:szCs w:val="44"/>
          <w:lang w:eastAsia="zh-CN"/>
        </w:rPr>
        <w:t>租赁项目</w:t>
      </w:r>
    </w:p>
    <w:p>
      <w:pPr>
        <w:pStyle w:val="10"/>
        <w:jc w:val="center"/>
        <w:rPr>
          <w:rFonts w:hint="eastAsia" w:ascii="黑体" w:hAnsi="黑体" w:eastAsia="黑体"/>
          <w:color w:val="auto"/>
          <w:sz w:val="44"/>
          <w:szCs w:val="44"/>
          <w:lang w:eastAsia="zh-CN"/>
        </w:rPr>
      </w:pPr>
    </w:p>
    <w:p>
      <w:pPr>
        <w:pStyle w:val="10"/>
        <w:rPr>
          <w:color w:val="auto"/>
        </w:rPr>
      </w:pPr>
    </w:p>
    <w:p>
      <w:pPr>
        <w:pStyle w:val="10"/>
        <w:rPr>
          <w:color w:val="auto"/>
        </w:rPr>
      </w:pPr>
    </w:p>
    <w:p>
      <w:pPr>
        <w:pStyle w:val="10"/>
        <w:rPr>
          <w:color w:val="auto"/>
        </w:rPr>
      </w:pPr>
    </w:p>
    <w:p>
      <w:pPr>
        <w:pStyle w:val="10"/>
        <w:rPr>
          <w:rFonts w:hint="eastAsia"/>
          <w:color w:val="auto"/>
        </w:rPr>
      </w:pPr>
    </w:p>
    <w:p>
      <w:pPr>
        <w:spacing w:line="360" w:lineRule="auto"/>
        <w:jc w:val="center"/>
        <w:rPr>
          <w:rFonts w:ascii="等线" w:hAnsi="等线" w:eastAsia="等线" w:cs="Arial Unicode MS"/>
          <w:b/>
          <w:color w:val="auto"/>
          <w:sz w:val="84"/>
          <w:szCs w:val="84"/>
        </w:rPr>
      </w:pPr>
      <w:bookmarkStart w:id="70" w:name="_Toc519155925"/>
      <w:bookmarkStart w:id="71" w:name="_Toc515537551"/>
      <w:r>
        <w:rPr>
          <w:rFonts w:hint="eastAsia" w:ascii="等线" w:hAnsi="等线" w:eastAsia="等线" w:cs="Arial Unicode MS"/>
          <w:b/>
          <w:color w:val="auto"/>
          <w:sz w:val="84"/>
          <w:szCs w:val="84"/>
          <w:lang w:eastAsia="zh-CN"/>
        </w:rPr>
        <w:t>询价</w:t>
      </w:r>
      <w:r>
        <w:rPr>
          <w:rFonts w:hint="eastAsia" w:ascii="等线" w:hAnsi="等线" w:eastAsia="等线" w:cs="Arial Unicode MS"/>
          <w:b/>
          <w:color w:val="auto"/>
          <w:sz w:val="84"/>
          <w:szCs w:val="84"/>
        </w:rPr>
        <w:t>响应文件</w:t>
      </w:r>
      <w:bookmarkEnd w:id="70"/>
      <w:bookmarkEnd w:id="71"/>
    </w:p>
    <w:p>
      <w:pPr>
        <w:spacing w:line="360" w:lineRule="auto"/>
        <w:rPr>
          <w:rFonts w:hint="eastAsia" w:ascii="宋体" w:hAnsi="宋体"/>
          <w:b/>
          <w:color w:val="auto"/>
        </w:rPr>
      </w:pPr>
    </w:p>
    <w:p>
      <w:pPr>
        <w:pStyle w:val="10"/>
        <w:spacing w:line="360" w:lineRule="auto"/>
        <w:rPr>
          <w:rFonts w:hint="eastAsia"/>
          <w:color w:val="auto"/>
        </w:rPr>
      </w:pPr>
    </w:p>
    <w:p>
      <w:pPr>
        <w:pStyle w:val="10"/>
        <w:spacing w:line="360" w:lineRule="auto"/>
        <w:rPr>
          <w:rFonts w:hint="eastAsia"/>
          <w:color w:val="auto"/>
        </w:rPr>
      </w:pPr>
    </w:p>
    <w:p>
      <w:pPr>
        <w:pStyle w:val="10"/>
        <w:spacing w:line="360" w:lineRule="auto"/>
        <w:rPr>
          <w:rFonts w:hint="eastAsia"/>
          <w:color w:val="auto"/>
        </w:rPr>
      </w:pPr>
    </w:p>
    <w:p>
      <w:pPr>
        <w:pStyle w:val="10"/>
        <w:spacing w:line="360" w:lineRule="auto"/>
        <w:rPr>
          <w:rFonts w:hint="eastAsia"/>
          <w:color w:val="auto"/>
        </w:rPr>
      </w:pPr>
    </w:p>
    <w:p>
      <w:pPr>
        <w:pStyle w:val="10"/>
        <w:spacing w:line="360" w:lineRule="auto"/>
        <w:rPr>
          <w:rFonts w:hint="eastAsia"/>
          <w:color w:val="auto"/>
        </w:rPr>
      </w:pPr>
    </w:p>
    <w:p>
      <w:pPr>
        <w:pStyle w:val="10"/>
        <w:spacing w:line="360" w:lineRule="auto"/>
        <w:rPr>
          <w:rFonts w:hint="eastAsia"/>
          <w:color w:val="auto"/>
        </w:rPr>
      </w:pPr>
    </w:p>
    <w:p>
      <w:pPr>
        <w:pStyle w:val="10"/>
        <w:spacing w:line="360" w:lineRule="auto"/>
        <w:rPr>
          <w:rFonts w:hint="eastAsia"/>
          <w:color w:val="auto"/>
        </w:rPr>
      </w:pPr>
    </w:p>
    <w:p>
      <w:pPr>
        <w:pStyle w:val="10"/>
        <w:spacing w:line="360" w:lineRule="auto"/>
        <w:rPr>
          <w:rFonts w:hint="eastAsia"/>
          <w:color w:val="auto"/>
        </w:rPr>
      </w:pPr>
    </w:p>
    <w:p>
      <w:pPr>
        <w:pStyle w:val="10"/>
        <w:spacing w:line="360" w:lineRule="auto"/>
        <w:rPr>
          <w:rFonts w:hint="eastAsia"/>
          <w:color w:val="auto"/>
        </w:rPr>
      </w:pPr>
    </w:p>
    <w:p>
      <w:pPr>
        <w:pStyle w:val="10"/>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10"/>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10"/>
        <w:spacing w:line="360" w:lineRule="auto"/>
        <w:rPr>
          <w:rFonts w:hint="eastAsia"/>
          <w:color w:val="auto"/>
        </w:rPr>
      </w:pPr>
    </w:p>
    <w:p>
      <w:pPr>
        <w:pStyle w:val="10"/>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10"/>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10"/>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11"/>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72"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72"/>
    </w:p>
    <w:p>
      <w:pPr>
        <w:spacing w:line="440" w:lineRule="exact"/>
        <w:ind w:firstLine="480" w:firstLineChars="200"/>
        <w:rPr>
          <w:rFonts w:hint="eastAsia" w:ascii="宋体" w:hAnsi="宋体" w:cs="宋体"/>
          <w:color w:val="auto"/>
          <w:sz w:val="24"/>
        </w:rPr>
      </w:pPr>
      <w:bookmarkStart w:id="73" w:name="_Toc474937275"/>
      <w:r>
        <w:rPr>
          <w:rFonts w:hint="eastAsia" w:ascii="宋体" w:hAnsi="宋体" w:cs="宋体"/>
          <w:color w:val="auto"/>
          <w:sz w:val="24"/>
        </w:rPr>
        <w:t>一、具备《中华人民共和国政府采购法》第二十二条第一款和本项目规定的条件：</w:t>
      </w:r>
      <w:bookmarkEnd w:id="73"/>
    </w:p>
    <w:p>
      <w:pPr>
        <w:spacing w:line="440" w:lineRule="exact"/>
        <w:ind w:firstLine="480" w:firstLineChars="200"/>
        <w:rPr>
          <w:rFonts w:hint="eastAsia" w:ascii="宋体" w:hAnsi="宋体" w:cs="宋体"/>
          <w:color w:val="auto"/>
          <w:sz w:val="24"/>
        </w:rPr>
      </w:pPr>
      <w:bookmarkStart w:id="74"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74"/>
    </w:p>
    <w:p>
      <w:pPr>
        <w:spacing w:line="440" w:lineRule="exact"/>
        <w:ind w:firstLine="480" w:firstLineChars="200"/>
        <w:rPr>
          <w:rFonts w:hint="eastAsia" w:ascii="宋体" w:hAnsi="宋体" w:cs="宋体"/>
          <w:color w:val="auto"/>
          <w:sz w:val="24"/>
        </w:rPr>
      </w:pPr>
      <w:bookmarkStart w:id="75" w:name="_Toc474937277"/>
      <w:r>
        <w:rPr>
          <w:rFonts w:hint="eastAsia" w:ascii="宋体" w:hAnsi="宋体" w:cs="宋体"/>
          <w:color w:val="auto"/>
          <w:sz w:val="24"/>
        </w:rPr>
        <w:t>（六）法律、行政法规规定的其他条件</w:t>
      </w:r>
      <w:bookmarkEnd w:id="75"/>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76"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76"/>
    </w:p>
    <w:p>
      <w:pPr>
        <w:spacing w:line="440" w:lineRule="exact"/>
        <w:ind w:firstLine="480" w:firstLineChars="200"/>
        <w:rPr>
          <w:rFonts w:hint="eastAsia" w:ascii="宋体" w:hAnsi="宋体" w:cs="宋体"/>
          <w:color w:val="auto"/>
          <w:sz w:val="24"/>
        </w:rPr>
      </w:pPr>
      <w:bookmarkStart w:id="77"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77"/>
    </w:p>
    <w:p>
      <w:pPr>
        <w:spacing w:line="440" w:lineRule="exact"/>
        <w:ind w:firstLine="480" w:firstLineChars="200"/>
        <w:rPr>
          <w:rFonts w:hint="eastAsia" w:ascii="宋体" w:hAnsi="宋体" w:cs="宋体"/>
          <w:color w:val="auto"/>
          <w:sz w:val="24"/>
        </w:rPr>
      </w:pPr>
      <w:bookmarkStart w:id="78"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78"/>
    </w:p>
    <w:p>
      <w:pPr>
        <w:spacing w:line="440" w:lineRule="exact"/>
        <w:ind w:firstLine="480" w:firstLineChars="200"/>
        <w:rPr>
          <w:rFonts w:hint="eastAsia" w:ascii="宋体" w:hAnsi="宋体" w:cs="宋体"/>
          <w:color w:val="auto"/>
          <w:sz w:val="24"/>
        </w:rPr>
      </w:pPr>
      <w:bookmarkStart w:id="79" w:name="_Toc474937282"/>
      <w:r>
        <w:rPr>
          <w:rFonts w:hint="eastAsia" w:ascii="宋体" w:hAnsi="宋体" w:cs="宋体"/>
          <w:color w:val="auto"/>
          <w:sz w:val="24"/>
        </w:rPr>
        <w:t>五、</w:t>
      </w:r>
      <w:bookmarkEnd w:id="79"/>
      <w:bookmarkStart w:id="80"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80"/>
    </w:p>
    <w:p>
      <w:pPr>
        <w:pStyle w:val="10"/>
        <w:spacing w:line="440" w:lineRule="exact"/>
        <w:ind w:firstLine="480"/>
        <w:rPr>
          <w:rFonts w:hint="eastAsia" w:ascii="宋体" w:hAnsi="宋体" w:cs="宋体"/>
          <w:color w:val="auto"/>
          <w:kern w:val="2"/>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auto"/>
          <w:sz w:val="24"/>
        </w:rPr>
      </w:pPr>
      <w:bookmarkStart w:id="81" w:name="_Toc474937285"/>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81"/>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10"/>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10"/>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82" w:name="_Toc519155926"/>
      <w:bookmarkStart w:id="83" w:name="_Toc496797232"/>
      <w:bookmarkStart w:id="84" w:name="_Toc24553"/>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30"/>
        <w:tblW w:w="11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default" w:ascii="仿宋_GB2312" w:eastAsia="仿宋_GB2312"/>
                <w:b/>
                <w:color w:val="auto"/>
                <w:sz w:val="24"/>
                <w:lang w:val="en-US" w:eastAsia="zh-CN"/>
              </w:rPr>
            </w:pPr>
            <w:r>
              <w:rPr>
                <w:rFonts w:hint="eastAsia" w:ascii="仿宋_GB2312" w:eastAsia="仿宋_GB2312"/>
                <w:b/>
                <w:color w:val="auto"/>
                <w:sz w:val="24"/>
                <w:lang w:val="en-US" w:eastAsia="zh-CN"/>
              </w:rPr>
              <w:t>生产厂家及品牌</w:t>
            </w:r>
          </w:p>
        </w:tc>
        <w:tc>
          <w:tcPr>
            <w:tcW w:w="1277" w:type="dxa"/>
            <w:noWrap w:val="0"/>
            <w:vAlign w:val="top"/>
          </w:tcPr>
          <w:p>
            <w:pPr>
              <w:spacing w:line="360" w:lineRule="auto"/>
              <w:jc w:val="center"/>
              <w:rPr>
                <w:rFonts w:hint="default"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规格型号</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10"/>
              <w:jc w:val="center"/>
              <w:rPr>
                <w:rFonts w:hint="eastAsia" w:ascii="仿宋_GB2312" w:hAnsi="宋体" w:eastAsia="仿宋_GB2312"/>
                <w:color w:val="auto"/>
                <w:szCs w:val="21"/>
                <w:shd w:val="clear" w:color="auto" w:fill="FFFFFF"/>
              </w:rPr>
            </w:pPr>
          </w:p>
        </w:tc>
        <w:tc>
          <w:tcPr>
            <w:tcW w:w="2080" w:type="dxa"/>
            <w:noWrap w:val="0"/>
            <w:vAlign w:val="top"/>
          </w:tcPr>
          <w:p>
            <w:pPr>
              <w:pStyle w:val="10"/>
              <w:spacing w:after="0" w:line="400" w:lineRule="exact"/>
              <w:rPr>
                <w:rFonts w:hint="eastAsia" w:ascii="仿宋_GB2312" w:eastAsia="仿宋_GB2312"/>
                <w:color w:val="auto"/>
                <w:szCs w:val="21"/>
              </w:rPr>
            </w:pPr>
          </w:p>
        </w:tc>
        <w:tc>
          <w:tcPr>
            <w:tcW w:w="1277" w:type="dxa"/>
            <w:noWrap w:val="0"/>
            <w:vAlign w:val="center"/>
          </w:tcPr>
          <w:p>
            <w:pPr>
              <w:pStyle w:val="10"/>
              <w:jc w:val="center"/>
              <w:rPr>
                <w:rFonts w:ascii="仿宋_GB2312" w:eastAsia="仿宋_GB2312"/>
                <w:color w:val="auto"/>
                <w:szCs w:val="21"/>
              </w:rPr>
            </w:pPr>
          </w:p>
        </w:tc>
        <w:tc>
          <w:tcPr>
            <w:tcW w:w="1277" w:type="dxa"/>
            <w:noWrap w:val="0"/>
            <w:vAlign w:val="center"/>
          </w:tcPr>
          <w:p>
            <w:pPr>
              <w:pStyle w:val="10"/>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10"/>
              <w:jc w:val="center"/>
              <w:rPr>
                <w:rFonts w:hint="eastAsia" w:ascii="仿宋_GB2312" w:hAnsi="宋体" w:eastAsia="仿宋_GB2312"/>
                <w:color w:val="auto"/>
                <w:szCs w:val="21"/>
                <w:shd w:val="clear" w:color="auto" w:fill="FFFFFF"/>
              </w:rPr>
            </w:pPr>
          </w:p>
        </w:tc>
        <w:tc>
          <w:tcPr>
            <w:tcW w:w="2080" w:type="dxa"/>
            <w:noWrap w:val="0"/>
            <w:vAlign w:val="top"/>
          </w:tcPr>
          <w:p>
            <w:pPr>
              <w:pStyle w:val="10"/>
              <w:spacing w:after="0" w:line="400" w:lineRule="exact"/>
              <w:rPr>
                <w:rFonts w:hint="eastAsia" w:ascii="仿宋_GB2312" w:eastAsia="仿宋_GB2312"/>
                <w:color w:val="auto"/>
                <w:szCs w:val="21"/>
              </w:rPr>
            </w:pPr>
          </w:p>
        </w:tc>
        <w:tc>
          <w:tcPr>
            <w:tcW w:w="1277" w:type="dxa"/>
            <w:noWrap w:val="0"/>
            <w:vAlign w:val="center"/>
          </w:tcPr>
          <w:p>
            <w:pPr>
              <w:pStyle w:val="10"/>
              <w:jc w:val="center"/>
              <w:rPr>
                <w:rFonts w:ascii="仿宋_GB2312" w:eastAsia="仿宋_GB2312"/>
                <w:color w:val="auto"/>
                <w:szCs w:val="21"/>
              </w:rPr>
            </w:pPr>
          </w:p>
        </w:tc>
        <w:tc>
          <w:tcPr>
            <w:tcW w:w="1277" w:type="dxa"/>
            <w:noWrap w:val="0"/>
            <w:vAlign w:val="center"/>
          </w:tcPr>
          <w:p>
            <w:pPr>
              <w:pStyle w:val="10"/>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93" w:type="dxa"/>
            <w:noWrap w:val="0"/>
            <w:vAlign w:val="center"/>
          </w:tcPr>
          <w:p>
            <w:pPr>
              <w:spacing w:line="360" w:lineRule="exact"/>
              <w:jc w:val="center"/>
              <w:rPr>
                <w:rFonts w:hint="eastAsia" w:ascii="仿宋_GB2312" w:eastAsia="仿宋_GB2312"/>
                <w:b/>
                <w:color w:val="auto"/>
                <w:sz w:val="24"/>
                <w:lang w:val="en-US" w:eastAsia="zh-CN"/>
              </w:rPr>
            </w:pPr>
            <w:r>
              <w:rPr>
                <w:rFonts w:hint="eastAsia" w:ascii="仿宋_GB2312" w:eastAsia="仿宋_GB2312"/>
                <w:b/>
                <w:color w:val="auto"/>
                <w:sz w:val="24"/>
              </w:rPr>
              <w:t>报价</w:t>
            </w:r>
            <w:r>
              <w:rPr>
                <w:rFonts w:hint="eastAsia" w:ascii="仿宋_GB2312" w:eastAsia="仿宋_GB2312"/>
                <w:b/>
                <w:color w:val="auto"/>
                <w:sz w:val="24"/>
                <w:lang w:val="en-US" w:eastAsia="zh-CN"/>
              </w:rPr>
              <w:t>合计</w:t>
            </w:r>
          </w:p>
        </w:tc>
        <w:tc>
          <w:tcPr>
            <w:tcW w:w="10040" w:type="dxa"/>
            <w:gridSpan w:val="7"/>
            <w:noWrap w:val="0"/>
            <w:vAlign w:val="center"/>
          </w:tcPr>
          <w:p>
            <w:pPr>
              <w:spacing w:line="360" w:lineRule="exact"/>
              <w:jc w:val="left"/>
              <w:rPr>
                <w:rFonts w:hint="eastAsia" w:ascii="仿宋_GB2312" w:eastAsia="仿宋_GB2312"/>
                <w:color w:val="auto"/>
                <w:szCs w:val="21"/>
                <w:lang w:eastAsia="zh-CN"/>
              </w:rPr>
            </w:pPr>
            <w:r>
              <w:rPr>
                <w:rFonts w:hint="eastAsia" w:ascii="仿宋_GB2312" w:eastAsia="仿宋_GB2312"/>
                <w:color w:val="auto"/>
                <w:szCs w:val="21"/>
                <w:lang w:val="en-US" w:eastAsia="zh-CN"/>
              </w:rPr>
              <w:t>XX</w:t>
            </w:r>
            <w:r>
              <w:rPr>
                <w:rFonts w:hint="eastAsia" w:ascii="仿宋_GB2312" w:eastAsia="仿宋_GB2312"/>
                <w:color w:val="auto"/>
                <w:szCs w:val="21"/>
              </w:rPr>
              <w:t xml:space="preserve">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xxx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81"/>
        <w:ind w:firstLine="420" w:firstLineChars="200"/>
        <w:rPr>
          <w:rFonts w:ascii="仿宋_GB2312" w:hAnsi="仿宋" w:eastAsia="仿宋_GB2312" w:cs="仿宋"/>
          <w:color w:val="auto"/>
          <w:sz w:val="21"/>
          <w:szCs w:val="21"/>
        </w:rPr>
      </w:pPr>
    </w:p>
    <w:p>
      <w:pPr>
        <w:pStyle w:val="81"/>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3"/>
        <w:numPr>
          <w:ilvl w:val="0"/>
          <w:numId w:val="0"/>
        </w:numPr>
        <w:spacing w:line="360" w:lineRule="auto"/>
        <w:jc w:val="center"/>
        <w:rPr>
          <w:rFonts w:hint="eastAsia" w:ascii="黑体" w:hAnsi="宋体"/>
          <w:color w:val="auto"/>
          <w:lang w:val="en-US" w:eastAsia="zh-CN"/>
        </w:rPr>
      </w:pPr>
      <w:r>
        <w:rPr>
          <w:rFonts w:hint="eastAsia" w:ascii="黑体" w:hAnsi="宋体" w:eastAsia="黑体"/>
          <w:b/>
          <w:bCs/>
          <w:color w:val="auto"/>
          <w:kern w:val="0"/>
          <w:sz w:val="32"/>
          <w:szCs w:val="32"/>
          <w:lang w:val="en-US" w:eastAsia="zh-CN" w:bidi="ar-SA"/>
        </w:rPr>
        <w:br w:type="page"/>
      </w:r>
      <w:r>
        <w:rPr>
          <w:rFonts w:hint="eastAsia" w:ascii="黑体" w:hAnsi="宋体" w:eastAsia="黑体"/>
          <w:b/>
          <w:bCs/>
          <w:color w:val="auto"/>
          <w:kern w:val="0"/>
          <w:sz w:val="32"/>
          <w:szCs w:val="32"/>
          <w:lang w:val="en-US" w:eastAsia="zh-CN" w:bidi="ar-SA"/>
        </w:rPr>
        <w:t>五、</w:t>
      </w:r>
      <w:bookmarkEnd w:id="82"/>
      <w:bookmarkEnd w:id="83"/>
      <w:bookmarkEnd w:id="84"/>
      <w:bookmarkStart w:id="85" w:name="_Toc60142203"/>
      <w:bookmarkStart w:id="86" w:name="_Toc519155927"/>
      <w:r>
        <w:rPr>
          <w:rFonts w:hint="eastAsia" w:ascii="黑体" w:hAnsi="宋体"/>
          <w:color w:val="auto"/>
          <w:lang w:val="en-US" w:eastAsia="zh-CN"/>
        </w:rPr>
        <w:t>技术参数响应表</w:t>
      </w:r>
    </w:p>
    <w:p>
      <w:pPr>
        <w:pStyle w:val="10"/>
        <w:spacing w:line="360" w:lineRule="auto"/>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项目名称：XXX</w:t>
      </w:r>
    </w:p>
    <w:p>
      <w:pPr>
        <w:pStyle w:val="10"/>
        <w:spacing w:line="360" w:lineRule="auto"/>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val="en-US"/>
        </w:rPr>
        <w:t>XXX</w:t>
      </w:r>
    </w:p>
    <w:tbl>
      <w:tblPr>
        <w:tblStyle w:val="30"/>
        <w:tblW w:w="11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3309"/>
        <w:gridCol w:w="3309"/>
        <w:gridCol w:w="3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1" w:type="dxa"/>
            <w:noWrap w:val="0"/>
            <w:vAlign w:val="center"/>
          </w:tcPr>
          <w:p>
            <w:pPr>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序号</w:t>
            </w:r>
          </w:p>
        </w:tc>
        <w:tc>
          <w:tcPr>
            <w:tcW w:w="3309" w:type="dxa"/>
            <w:noWrap w:val="0"/>
            <w:vAlign w:val="center"/>
          </w:tcPr>
          <w:p>
            <w:pPr>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询价</w:t>
            </w:r>
            <w:r>
              <w:rPr>
                <w:rFonts w:hint="eastAsia" w:ascii="仿宋" w:hAnsi="仿宋" w:eastAsia="仿宋" w:cs="仿宋"/>
                <w:b/>
                <w:color w:val="auto"/>
                <w:sz w:val="28"/>
                <w:szCs w:val="28"/>
              </w:rPr>
              <w:t>文件要求</w:t>
            </w:r>
          </w:p>
        </w:tc>
        <w:tc>
          <w:tcPr>
            <w:tcW w:w="3309" w:type="dxa"/>
            <w:noWrap w:val="0"/>
            <w:vAlign w:val="center"/>
          </w:tcPr>
          <w:p>
            <w:pPr>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响应文件响应</w:t>
            </w:r>
          </w:p>
        </w:tc>
        <w:tc>
          <w:tcPr>
            <w:tcW w:w="3309" w:type="dxa"/>
            <w:noWrap w:val="0"/>
            <w:vAlign w:val="center"/>
          </w:tcPr>
          <w:p>
            <w:pPr>
              <w:spacing w:line="360" w:lineRule="auto"/>
              <w:jc w:val="center"/>
              <w:rPr>
                <w:rFonts w:hint="eastAsia" w:ascii="仿宋" w:hAnsi="仿宋" w:eastAsia="仿宋" w:cs="仿宋"/>
                <w:color w:val="auto"/>
                <w:sz w:val="28"/>
                <w:szCs w:val="28"/>
              </w:rPr>
            </w:pPr>
            <w:bookmarkStart w:id="87" w:name="_Toc96262816"/>
            <w:r>
              <w:rPr>
                <w:rFonts w:hint="eastAsia" w:ascii="仿宋" w:hAnsi="仿宋" w:eastAsia="仿宋" w:cs="仿宋"/>
                <w:b/>
                <w:color w:val="auto"/>
                <w:sz w:val="28"/>
                <w:szCs w:val="28"/>
              </w:rPr>
              <w:t>响应/偏离</w:t>
            </w:r>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31"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31"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31"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31"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c>
          <w:tcPr>
            <w:tcW w:w="3309" w:type="dxa"/>
            <w:noWrap w:val="0"/>
            <w:vAlign w:val="top"/>
          </w:tcPr>
          <w:p>
            <w:pPr>
              <w:spacing w:line="360" w:lineRule="auto"/>
              <w:jc w:val="center"/>
              <w:rPr>
                <w:rFonts w:hint="eastAsia" w:ascii="仿宋" w:hAnsi="仿宋" w:eastAsia="仿宋" w:cs="仿宋"/>
                <w:color w:val="auto"/>
                <w:sz w:val="28"/>
                <w:szCs w:val="28"/>
              </w:rPr>
            </w:pPr>
          </w:p>
        </w:tc>
      </w:tr>
    </w:tbl>
    <w:p>
      <w:pPr>
        <w:pStyle w:val="3"/>
        <w:spacing w:line="360" w:lineRule="auto"/>
        <w:ind w:firstLine="482"/>
        <w:jc w:val="both"/>
        <w:rPr>
          <w:rFonts w:hint="eastAsia" w:ascii="仿宋" w:hAnsi="仿宋" w:eastAsia="仿宋" w:cs="仿宋"/>
          <w:b/>
          <w:color w:val="auto"/>
          <w:sz w:val="28"/>
          <w:szCs w:val="28"/>
        </w:rPr>
      </w:pPr>
      <w:r>
        <w:rPr>
          <w:rFonts w:hint="eastAsia" w:ascii="仿宋" w:hAnsi="仿宋" w:eastAsia="仿宋" w:cs="仿宋"/>
          <w:b/>
          <w:bCs/>
          <w:color w:val="auto"/>
          <w:sz w:val="28"/>
          <w:szCs w:val="28"/>
          <w:lang w:val="en-US"/>
        </w:rPr>
        <w:t>注：</w:t>
      </w:r>
      <w:r>
        <w:rPr>
          <w:rFonts w:hint="eastAsia" w:ascii="仿宋" w:hAnsi="仿宋" w:eastAsia="仿宋" w:cs="仿宋"/>
          <w:color w:val="auto"/>
          <w:sz w:val="28"/>
          <w:szCs w:val="28"/>
        </w:rPr>
        <w:t>供应商必须根据</w:t>
      </w:r>
      <w:r>
        <w:rPr>
          <w:rFonts w:hint="eastAsia" w:ascii="仿宋" w:hAnsi="仿宋" w:eastAsia="仿宋" w:cs="仿宋"/>
          <w:color w:val="auto"/>
          <w:sz w:val="28"/>
          <w:szCs w:val="28"/>
          <w:lang w:val="en-US" w:eastAsia="zh-CN"/>
        </w:rPr>
        <w:t>询价</w:t>
      </w:r>
      <w:r>
        <w:rPr>
          <w:rFonts w:hint="eastAsia" w:ascii="仿宋" w:hAnsi="仿宋" w:eastAsia="仿宋" w:cs="仿宋"/>
          <w:color w:val="auto"/>
          <w:sz w:val="28"/>
          <w:szCs w:val="28"/>
        </w:rPr>
        <w:t>文件</w:t>
      </w:r>
      <w:r>
        <w:rPr>
          <w:rFonts w:hint="eastAsia" w:ascii="仿宋" w:hAnsi="仿宋" w:eastAsia="仿宋" w:cs="仿宋"/>
          <w:color w:val="auto"/>
          <w:sz w:val="28"/>
          <w:szCs w:val="28"/>
          <w:lang w:val="en-US" w:eastAsia="zh-CN"/>
        </w:rPr>
        <w:t>技术参数要求</w:t>
      </w:r>
      <w:r>
        <w:rPr>
          <w:rFonts w:hint="eastAsia" w:ascii="仿宋" w:hAnsi="仿宋" w:eastAsia="仿宋" w:cs="仿宋"/>
          <w:color w:val="auto"/>
          <w:sz w:val="28"/>
          <w:szCs w:val="28"/>
        </w:rPr>
        <w:t>据实逐条填写，不得虚假响应，虚假响应的，其响应文件无效并按规定追究其相关责任。</w:t>
      </w:r>
    </w:p>
    <w:p>
      <w:pPr>
        <w:tabs>
          <w:tab w:val="left" w:pos="7665"/>
        </w:tabs>
        <w:spacing w:line="360" w:lineRule="auto"/>
        <w:ind w:firstLine="562" w:firstLineChars="200"/>
        <w:rPr>
          <w:rFonts w:hint="eastAsia" w:ascii="仿宋" w:hAnsi="仿宋" w:eastAsia="仿宋" w:cs="仿宋"/>
          <w:b/>
          <w:bCs/>
          <w:color w:val="auto"/>
          <w:sz w:val="28"/>
          <w:szCs w:val="28"/>
        </w:rPr>
      </w:pPr>
    </w:p>
    <w:p>
      <w:pPr>
        <w:pStyle w:val="10"/>
        <w:spacing w:line="360" w:lineRule="auto"/>
        <w:ind w:firstLine="560" w:firstLineChars="200"/>
        <w:jc w:val="both"/>
        <w:rPr>
          <w:rFonts w:hint="eastAsia" w:ascii="仿宋" w:hAnsi="仿宋" w:eastAsia="仿宋" w:cs="仿宋"/>
          <w:color w:val="auto"/>
          <w:sz w:val="28"/>
          <w:szCs w:val="28"/>
          <w:lang w:val="en-US"/>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3"/>
        <w:numPr>
          <w:ilvl w:val="0"/>
          <w:numId w:val="0"/>
        </w:numPr>
        <w:spacing w:line="360" w:lineRule="auto"/>
        <w:jc w:val="center"/>
        <w:rPr>
          <w:rFonts w:ascii="等线" w:hAnsi="等线" w:eastAsia="等线"/>
          <w:color w:val="auto"/>
          <w:sz w:val="30"/>
          <w:szCs w:val="30"/>
        </w:rPr>
      </w:pPr>
      <w:r>
        <w:rPr>
          <w:rFonts w:ascii="黑体" w:hAnsi="宋体"/>
          <w:color w:val="auto"/>
        </w:rPr>
        <w:br w:type="page"/>
      </w:r>
      <w:r>
        <w:rPr>
          <w:rFonts w:hint="eastAsia" w:ascii="黑体" w:hAnsi="宋体"/>
          <w:color w:val="auto"/>
          <w:lang w:val="en-US" w:eastAsia="zh-CN"/>
        </w:rPr>
        <w:t>六</w:t>
      </w:r>
      <w:r>
        <w:rPr>
          <w:rFonts w:hint="eastAsia" w:ascii="等线" w:hAnsi="等线" w:eastAsia="等线"/>
          <w:color w:val="auto"/>
          <w:sz w:val="30"/>
          <w:szCs w:val="30"/>
        </w:rPr>
        <w:t>、其他材料</w:t>
      </w:r>
      <w:bookmarkEnd w:id="85"/>
      <w:bookmarkEnd w:id="86"/>
    </w:p>
    <w:p>
      <w:pPr>
        <w:pStyle w:val="7"/>
        <w:ind w:firstLine="480"/>
        <w:rPr>
          <w:rFonts w:hint="eastAsia"/>
          <w:color w:val="auto"/>
          <w:sz w:val="24"/>
        </w:rPr>
      </w:pPr>
      <w:r>
        <w:rPr>
          <w:rFonts w:hint="eastAsia"/>
          <w:color w:val="auto"/>
          <w:sz w:val="24"/>
        </w:rPr>
        <w:t>供应商根据</w:t>
      </w:r>
      <w:r>
        <w:rPr>
          <w:rFonts w:hint="eastAsia"/>
          <w:color w:val="auto"/>
          <w:sz w:val="24"/>
          <w:lang w:eastAsia="zh-CN"/>
        </w:rPr>
        <w:t>询价</w:t>
      </w:r>
      <w:r>
        <w:rPr>
          <w:rFonts w:hint="eastAsia"/>
          <w:color w:val="auto"/>
          <w:sz w:val="24"/>
        </w:rPr>
        <w:t>文件自行提供，格式自拟。</w:t>
      </w:r>
    </w:p>
    <w:bookmarkEnd w:id="67"/>
    <w:bookmarkEnd w:id="68"/>
    <w:bookmarkEnd w:id="69"/>
    <w:p>
      <w:pPr>
        <w:pStyle w:val="10"/>
        <w:numPr>
          <w:ilvl w:val="0"/>
          <w:numId w:val="4"/>
        </w:numPr>
        <w:jc w:val="center"/>
        <w:rPr>
          <w:rStyle w:val="38"/>
          <w:rFonts w:ascii="Times New Roman" w:hAnsi="Times New Roman" w:eastAsia="宋体" w:cs="Times New Roman"/>
          <w:b/>
          <w:bCs/>
          <w:sz w:val="28"/>
          <w:szCs w:val="28"/>
        </w:rPr>
      </w:pPr>
      <w:r>
        <w:rPr>
          <w:rFonts w:hint="eastAsia" w:ascii="仿宋_GB2312" w:eastAsia="仿宋_GB2312"/>
          <w:color w:val="auto"/>
          <w:sz w:val="21"/>
          <w:szCs w:val="21"/>
        </w:rPr>
        <w:br w:type="page"/>
      </w:r>
      <w:r>
        <w:rPr>
          <w:rStyle w:val="38"/>
          <w:rFonts w:hint="eastAsia" w:ascii="Times New Roman" w:hAnsi="Times New Roman" w:eastAsia="宋体" w:cs="Times New Roman"/>
          <w:b/>
          <w:bCs/>
          <w:sz w:val="28"/>
          <w:szCs w:val="28"/>
          <w:lang w:eastAsia="zh-CN"/>
        </w:rPr>
        <w:t>询价</w:t>
      </w:r>
      <w:r>
        <w:rPr>
          <w:rStyle w:val="38"/>
          <w:rFonts w:ascii="Times New Roman" w:hAnsi="Times New Roman" w:eastAsia="宋体" w:cs="Times New Roman"/>
          <w:b/>
          <w:bCs/>
          <w:sz w:val="28"/>
          <w:szCs w:val="28"/>
        </w:rPr>
        <w:t>方法及报告</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w:t>
      </w:r>
      <w:r>
        <w:rPr>
          <w:rFonts w:hint="eastAsia" w:ascii="宋体" w:hAnsi="宋体"/>
          <w:bCs/>
          <w:color w:val="auto"/>
          <w:sz w:val="24"/>
          <w:highlight w:val="none"/>
          <w:lang w:val="en-US" w:eastAsia="zh-CN"/>
        </w:rPr>
        <w:t>参照</w:t>
      </w:r>
      <w:r>
        <w:rPr>
          <w:rFonts w:hint="eastAsia" w:ascii="宋体" w:hAnsi="宋体"/>
          <w:bCs/>
          <w:color w:val="auto"/>
          <w:sz w:val="24"/>
          <w:highlight w:val="none"/>
        </w:rPr>
        <w:t>《政府采购非招标采购方式管理办法》（财政部部长令第74号）、《四川省政府采购非招标采购方式实施办法》（川财采[2015]36号）的规定履行职责和义务，不得违法评审、违反评审工作纪律。</w:t>
      </w:r>
    </w:p>
    <w:p>
      <w:pPr>
        <w:adjustRightInd w:val="0"/>
        <w:snapToGrid w:val="0"/>
        <w:spacing w:line="400" w:lineRule="exact"/>
        <w:ind w:firstLine="480" w:firstLineChars="200"/>
        <w:rPr>
          <w:rFonts w:hint="eastAsia" w:ascii="宋体" w:hAnsi="宋体"/>
          <w:bCs/>
          <w:color w:val="auto"/>
          <w:sz w:val="24"/>
          <w:highlight w:val="none"/>
        </w:rPr>
      </w:pPr>
    </w:p>
    <w:p>
      <w:pPr>
        <w:adjustRightInd w:val="0"/>
        <w:snapToGrid w:val="0"/>
        <w:spacing w:line="40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1.询价程序</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1.1供应商签到并递交响应文件。</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1.2资格审查。</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1.3出具资格审查报告，当场宣布资格审查结果，并告知未通过资格审查的供应商未通过资格审查的原因，但涉及商业秘密的除外。</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1.4询价小组按照询价通知书的规定对供应商的响应文件进行书面审查。</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1.5所有实质性响应的供应商在规定的时间内一次报出不得更改的价格。</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1.6供应商报价结束后，询价小组拟出具评审报告前，询价采购单位应当组织2名以上的本单位工作人员，在采购现场监督人员的监督之下，依据有关的法律制度和采购文件对评审结果进行复核，出具复核报告。</w:t>
      </w:r>
    </w:p>
    <w:p>
      <w:pPr>
        <w:pStyle w:val="10"/>
        <w:numPr>
          <w:ilvl w:val="0"/>
          <w:numId w:val="5"/>
        </w:numPr>
        <w:rPr>
          <w:rFonts w:hint="eastAsia" w:ascii="宋体" w:hAnsi="宋体"/>
          <w:bCs/>
          <w:color w:val="auto"/>
          <w:sz w:val="24"/>
          <w:highlight w:val="none"/>
        </w:rPr>
      </w:pPr>
      <w:r>
        <w:rPr>
          <w:rFonts w:hint="eastAsia" w:ascii="宋体" w:hAnsi="宋体"/>
          <w:bCs/>
          <w:color w:val="auto"/>
          <w:sz w:val="24"/>
          <w:highlight w:val="none"/>
        </w:rPr>
        <w:t>1.7询价小组编写评审报告。询价小组从质量和服务均能满足采购文件实质性要求的供应商中，按照供应商的报价由低到高排序，推荐成交候选供应商。供应商报价相同的，</w:t>
      </w:r>
      <w:r>
        <w:rPr>
          <w:rFonts w:hint="eastAsia" w:ascii="宋体" w:hAnsi="宋体"/>
          <w:bCs/>
          <w:color w:val="auto"/>
          <w:sz w:val="24"/>
          <w:highlight w:val="none"/>
          <w:lang w:eastAsia="zh-CN"/>
        </w:rPr>
        <w:t>按照相关优先原则确定（</w:t>
      </w:r>
      <w:r>
        <w:rPr>
          <w:rFonts w:hint="eastAsia" w:ascii="宋体" w:hAnsi="宋体"/>
          <w:bCs/>
          <w:color w:val="auto"/>
          <w:sz w:val="24"/>
          <w:highlight w:val="none"/>
          <w:lang w:val="en-US" w:eastAsia="zh-CN"/>
        </w:rPr>
        <w:t>供应商提供本项目的产品属于优先采购范围的，以提供了的作为成交供应商；均提供的，以种类多的供应商作为成交供应商；</w:t>
      </w:r>
      <w:r>
        <w:rPr>
          <w:rFonts w:hint="eastAsia" w:ascii="宋体" w:hAnsi="宋体"/>
          <w:bCs/>
          <w:color w:val="auto"/>
          <w:sz w:val="24"/>
          <w:highlight w:val="none"/>
          <w:lang w:eastAsia="zh-CN"/>
        </w:rPr>
        <w:t>注册地为少数民族或不发达地区的供应商优先作为成交供应商。），如还不能确定</w:t>
      </w:r>
      <w:r>
        <w:rPr>
          <w:rFonts w:hint="eastAsia" w:ascii="宋体" w:hAnsi="宋体"/>
          <w:bCs/>
          <w:color w:val="auto"/>
          <w:sz w:val="24"/>
          <w:highlight w:val="none"/>
        </w:rPr>
        <w:t>由询价小组组织供应商抽签确定推荐的成交候选供应商顺序。</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1.8采购人根据质量和服务均能满足采购文件实质性要求且报价最低的原则确定成交供应商（也可以书面授权询价小组直接确定成交供应商）。</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1.9发布成交结果公告，同时发出成交通知书。</w:t>
      </w:r>
    </w:p>
    <w:p>
      <w:pPr>
        <w:adjustRightInd w:val="0"/>
        <w:snapToGrid w:val="0"/>
        <w:spacing w:line="400" w:lineRule="exact"/>
        <w:ind w:firstLine="480" w:firstLineChars="200"/>
        <w:rPr>
          <w:rFonts w:hint="eastAsia" w:ascii="宋体" w:hAnsi="宋体"/>
          <w:bCs/>
          <w:color w:val="auto"/>
          <w:sz w:val="24"/>
          <w:highlight w:val="none"/>
        </w:rPr>
      </w:pPr>
    </w:p>
    <w:p>
      <w:pPr>
        <w:adjustRightInd w:val="0"/>
        <w:snapToGrid w:val="0"/>
        <w:spacing w:line="40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2.评审程序、评审方法、评审标准</w:t>
      </w:r>
    </w:p>
    <w:p>
      <w:pPr>
        <w:pStyle w:val="3"/>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88" w:name="_Toc45884850"/>
      <w:bookmarkStart w:id="89" w:name="_Toc45884790"/>
      <w:bookmarkStart w:id="90" w:name="_Toc45884670"/>
      <w:bookmarkStart w:id="91" w:name="_Toc45884730"/>
      <w:r>
        <w:rPr>
          <w:rFonts w:hint="eastAsia" w:ascii="宋体" w:hAnsi="宋体"/>
          <w:b w:val="0"/>
          <w:bCs w:val="0"/>
          <w:color w:val="auto"/>
          <w:sz w:val="24"/>
          <w:highlight w:val="none"/>
        </w:rPr>
        <w:t>2.1</w:t>
      </w:r>
      <w:r>
        <w:rPr>
          <w:rFonts w:hint="eastAsia" w:ascii="宋体" w:hAnsi="宋体" w:eastAsia="宋体"/>
          <w:b w:val="0"/>
          <w:color w:val="auto"/>
          <w:sz w:val="24"/>
          <w:szCs w:val="24"/>
          <w:highlight w:val="none"/>
        </w:rPr>
        <w:t>熟悉和理解询价通知书和停止评审。</w:t>
      </w:r>
      <w:bookmarkEnd w:id="88"/>
      <w:bookmarkEnd w:id="89"/>
      <w:bookmarkEnd w:id="90"/>
      <w:bookmarkEnd w:id="91"/>
    </w:p>
    <w:p>
      <w:pPr>
        <w:pStyle w:val="3"/>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92" w:name="_Toc45884731"/>
      <w:bookmarkStart w:id="93" w:name="_Toc45884791"/>
      <w:bookmarkStart w:id="94" w:name="_Toc45884851"/>
      <w:bookmarkStart w:id="95" w:name="_Toc45884671"/>
      <w:r>
        <w:rPr>
          <w:rFonts w:hint="eastAsia" w:ascii="宋体" w:hAnsi="宋体" w:eastAsia="宋体"/>
          <w:b w:val="0"/>
          <w:color w:val="auto"/>
          <w:sz w:val="24"/>
          <w:szCs w:val="24"/>
          <w:highlight w:val="none"/>
        </w:rPr>
        <w:t>2.1.1 询价小组正式评审前，应当对询价通知书进行熟悉和理解，内容主要包括询价通知书中供应商资格条件要求、采购项目技术、服务和商务要求、询价办法和评审标准、政府采购政策要求以及政府采购合同主要条款等。</w:t>
      </w:r>
      <w:bookmarkEnd w:id="92"/>
      <w:bookmarkEnd w:id="93"/>
      <w:bookmarkEnd w:id="94"/>
      <w:bookmarkEnd w:id="95"/>
    </w:p>
    <w:p>
      <w:pPr>
        <w:pStyle w:val="3"/>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96" w:name="_Toc45884672"/>
      <w:bookmarkStart w:id="97" w:name="_Toc45884852"/>
      <w:bookmarkStart w:id="98" w:name="_Toc45884732"/>
      <w:bookmarkStart w:id="99" w:name="_Toc45884792"/>
      <w:r>
        <w:rPr>
          <w:rFonts w:hint="eastAsia" w:ascii="宋体" w:hAnsi="宋体" w:eastAsia="宋体"/>
          <w:b w:val="0"/>
          <w:color w:val="auto"/>
          <w:sz w:val="24"/>
          <w:szCs w:val="24"/>
          <w:highlight w:val="none"/>
        </w:rPr>
        <w:t>2.1.2 本询价通知书有下列情形之一的，询价小组应当停止评审：</w:t>
      </w:r>
      <w:bookmarkEnd w:id="96"/>
      <w:bookmarkEnd w:id="97"/>
      <w:bookmarkEnd w:id="98"/>
      <w:bookmarkEnd w:id="99"/>
    </w:p>
    <w:p>
      <w:pPr>
        <w:pStyle w:val="3"/>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100" w:name="_Toc45884853"/>
      <w:bookmarkStart w:id="101" w:name="_Toc45884793"/>
      <w:bookmarkStart w:id="102" w:name="_Toc45884673"/>
      <w:bookmarkStart w:id="103" w:name="_Toc45884733"/>
      <w:r>
        <w:rPr>
          <w:rFonts w:hint="eastAsia" w:ascii="宋体" w:hAnsi="宋体" w:eastAsia="宋体"/>
          <w:b w:val="0"/>
          <w:color w:val="auto"/>
          <w:sz w:val="24"/>
          <w:szCs w:val="24"/>
          <w:highlight w:val="none"/>
        </w:rPr>
        <w:t>（1）询价通知书的规定存在歧义、重大缺陷的；</w:t>
      </w:r>
      <w:bookmarkEnd w:id="100"/>
      <w:bookmarkEnd w:id="101"/>
      <w:bookmarkEnd w:id="102"/>
      <w:bookmarkEnd w:id="103"/>
    </w:p>
    <w:p>
      <w:pPr>
        <w:pStyle w:val="3"/>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104" w:name="_Toc45884674"/>
      <w:bookmarkStart w:id="105" w:name="_Toc45884794"/>
      <w:bookmarkStart w:id="106" w:name="_Toc45884734"/>
      <w:bookmarkStart w:id="107" w:name="_Toc45884854"/>
      <w:r>
        <w:rPr>
          <w:rFonts w:hint="eastAsia" w:ascii="宋体" w:hAnsi="宋体" w:eastAsia="宋体"/>
          <w:b w:val="0"/>
          <w:color w:val="auto"/>
          <w:sz w:val="24"/>
          <w:szCs w:val="24"/>
          <w:highlight w:val="none"/>
        </w:rPr>
        <w:t>（2）询价通知书明显以不合理条件对供应商实行差别待遇或者歧视待遇的；</w:t>
      </w:r>
      <w:bookmarkEnd w:id="104"/>
      <w:bookmarkEnd w:id="105"/>
      <w:bookmarkEnd w:id="106"/>
      <w:bookmarkEnd w:id="107"/>
    </w:p>
    <w:p>
      <w:pPr>
        <w:pStyle w:val="3"/>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108" w:name="_Toc45884855"/>
      <w:bookmarkStart w:id="109" w:name="_Toc45884735"/>
      <w:bookmarkStart w:id="110" w:name="_Toc45884795"/>
      <w:bookmarkStart w:id="111" w:name="_Toc45884675"/>
      <w:r>
        <w:rPr>
          <w:rFonts w:hint="eastAsia" w:ascii="宋体" w:hAnsi="宋体" w:eastAsia="宋体"/>
          <w:b w:val="0"/>
          <w:color w:val="auto"/>
          <w:sz w:val="24"/>
          <w:szCs w:val="24"/>
          <w:highlight w:val="none"/>
        </w:rPr>
        <w:t>（3）采购项目属于国家规定的优先、强制采购范围，但是询价通知书未依法体现优先、强制采购相关规定的；</w:t>
      </w:r>
      <w:bookmarkEnd w:id="108"/>
      <w:bookmarkEnd w:id="109"/>
      <w:bookmarkEnd w:id="110"/>
      <w:bookmarkEnd w:id="111"/>
    </w:p>
    <w:p>
      <w:pPr>
        <w:pStyle w:val="3"/>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112" w:name="_Toc45884856"/>
      <w:bookmarkStart w:id="113" w:name="_Toc45884796"/>
      <w:bookmarkStart w:id="114" w:name="_Toc45884676"/>
      <w:bookmarkStart w:id="115" w:name="_Toc45884736"/>
      <w:r>
        <w:rPr>
          <w:rFonts w:hint="eastAsia" w:ascii="宋体" w:hAnsi="宋体" w:eastAsia="宋体"/>
          <w:b w:val="0"/>
          <w:color w:val="auto"/>
          <w:sz w:val="24"/>
          <w:szCs w:val="24"/>
          <w:highlight w:val="none"/>
        </w:rPr>
        <w:t>（4）采购项目属于政府采购促进中小企业发展的范围，但是询价通知书未依法体现促进中小企业发展相关规定的；</w:t>
      </w:r>
      <w:bookmarkEnd w:id="112"/>
      <w:bookmarkEnd w:id="113"/>
      <w:bookmarkEnd w:id="114"/>
      <w:bookmarkEnd w:id="115"/>
    </w:p>
    <w:p>
      <w:pPr>
        <w:pStyle w:val="3"/>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116" w:name="_Toc45884857"/>
      <w:bookmarkStart w:id="117" w:name="_Toc45884797"/>
      <w:bookmarkStart w:id="118" w:name="_Toc45884737"/>
      <w:bookmarkStart w:id="119" w:name="_Toc45884677"/>
      <w:r>
        <w:rPr>
          <w:rFonts w:hint="eastAsia" w:ascii="宋体" w:hAnsi="宋体" w:eastAsia="宋体"/>
          <w:b w:val="0"/>
          <w:color w:val="auto"/>
          <w:sz w:val="24"/>
          <w:szCs w:val="24"/>
          <w:highlight w:val="none"/>
        </w:rPr>
        <w:t>（5）询价通知书将供应商的资格条件列为评分因素的；</w:t>
      </w:r>
      <w:bookmarkEnd w:id="116"/>
      <w:bookmarkEnd w:id="117"/>
      <w:bookmarkEnd w:id="118"/>
      <w:bookmarkEnd w:id="119"/>
    </w:p>
    <w:p>
      <w:pPr>
        <w:pStyle w:val="3"/>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120" w:name="_Toc45884858"/>
      <w:bookmarkStart w:id="121" w:name="_Toc45884798"/>
      <w:bookmarkStart w:id="122" w:name="_Toc45884678"/>
      <w:bookmarkStart w:id="123" w:name="_Toc45884738"/>
      <w:r>
        <w:rPr>
          <w:rFonts w:hint="eastAsia" w:ascii="宋体" w:hAnsi="宋体" w:eastAsia="宋体"/>
          <w:b w:val="0"/>
          <w:color w:val="auto"/>
          <w:sz w:val="24"/>
          <w:szCs w:val="24"/>
          <w:highlight w:val="none"/>
        </w:rPr>
        <w:t>（6）询价通知书载明的成交原则不合法的；</w:t>
      </w:r>
      <w:bookmarkEnd w:id="120"/>
      <w:bookmarkEnd w:id="121"/>
      <w:bookmarkEnd w:id="122"/>
      <w:bookmarkEnd w:id="123"/>
    </w:p>
    <w:p>
      <w:pPr>
        <w:pStyle w:val="3"/>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124" w:name="_Toc45884739"/>
      <w:bookmarkStart w:id="125" w:name="_Toc45884859"/>
      <w:bookmarkStart w:id="126" w:name="_Toc45884679"/>
      <w:bookmarkStart w:id="127" w:name="_Toc45884799"/>
      <w:r>
        <w:rPr>
          <w:rFonts w:hint="eastAsia" w:ascii="宋体" w:hAnsi="宋体" w:eastAsia="宋体"/>
          <w:b w:val="0"/>
          <w:color w:val="auto"/>
          <w:sz w:val="24"/>
          <w:szCs w:val="24"/>
          <w:highlight w:val="none"/>
        </w:rPr>
        <w:t>（7）询价通知书有违反国家其他有关强制性规定的情形。</w:t>
      </w:r>
      <w:bookmarkEnd w:id="124"/>
      <w:bookmarkEnd w:id="125"/>
      <w:bookmarkEnd w:id="126"/>
      <w:bookmarkEnd w:id="127"/>
    </w:p>
    <w:p>
      <w:pPr>
        <w:pStyle w:val="3"/>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128" w:name="_Toc45884740"/>
      <w:bookmarkStart w:id="129" w:name="_Toc45884680"/>
      <w:bookmarkStart w:id="130" w:name="_Toc45884860"/>
      <w:bookmarkStart w:id="131" w:name="_Toc45884800"/>
      <w:r>
        <w:rPr>
          <w:rFonts w:hint="eastAsia" w:ascii="宋体" w:hAnsi="宋体" w:eastAsia="宋体"/>
          <w:b w:val="0"/>
          <w:color w:val="auto"/>
          <w:sz w:val="24"/>
          <w:szCs w:val="24"/>
          <w:highlight w:val="none"/>
        </w:rPr>
        <w:t>2.1.3 出现本条2.1.2规定应当停止评审情形的，询价小组应当向采购人书面说明情况。除本条规定的情形外，询价小组不得以任何方式和理由停止评审。</w:t>
      </w:r>
      <w:bookmarkEnd w:id="128"/>
      <w:bookmarkEnd w:id="129"/>
      <w:bookmarkEnd w:id="130"/>
      <w:bookmarkEnd w:id="131"/>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2.2资格审查。</w:t>
      </w:r>
    </w:p>
    <w:p>
      <w:pPr>
        <w:pStyle w:val="3"/>
        <w:keepNext w:val="0"/>
        <w:keepLines w:val="0"/>
        <w:spacing w:before="0" w:after="0" w:line="400" w:lineRule="exact"/>
        <w:ind w:firstLine="470" w:firstLineChars="196"/>
        <w:rPr>
          <w:rFonts w:hint="eastAsia" w:ascii="宋体" w:hAnsi="宋体"/>
          <w:b w:val="0"/>
          <w:color w:val="auto"/>
          <w:sz w:val="24"/>
          <w:highlight w:val="none"/>
        </w:rPr>
      </w:pPr>
      <w:bookmarkStart w:id="132" w:name="_Toc45884801"/>
      <w:bookmarkStart w:id="133" w:name="_Toc45884681"/>
      <w:bookmarkStart w:id="134" w:name="_Toc45884861"/>
      <w:bookmarkStart w:id="135" w:name="_Toc45884741"/>
      <w:r>
        <w:rPr>
          <w:rFonts w:hint="eastAsia" w:ascii="宋体" w:hAnsi="宋体" w:eastAsia="宋体"/>
          <w:b w:val="0"/>
          <w:color w:val="auto"/>
          <w:sz w:val="24"/>
          <w:szCs w:val="24"/>
          <w:highlight w:val="none"/>
        </w:rPr>
        <w:t>2.2.1本项目需要询价小组进行资格性检查。</w:t>
      </w:r>
      <w:bookmarkEnd w:id="132"/>
      <w:bookmarkEnd w:id="133"/>
      <w:bookmarkEnd w:id="134"/>
      <w:bookmarkEnd w:id="135"/>
    </w:p>
    <w:p>
      <w:pPr>
        <w:pStyle w:val="3"/>
        <w:keepNext w:val="0"/>
        <w:keepLines w:val="0"/>
        <w:spacing w:before="0" w:after="0" w:line="400" w:lineRule="exact"/>
        <w:ind w:firstLine="470" w:firstLineChars="196"/>
        <w:rPr>
          <w:rFonts w:hint="eastAsia" w:ascii="宋体" w:hAnsi="宋体" w:eastAsia="宋体"/>
          <w:b w:val="0"/>
          <w:color w:val="auto"/>
          <w:sz w:val="24"/>
          <w:szCs w:val="24"/>
          <w:highlight w:val="none"/>
        </w:rPr>
      </w:pPr>
      <w:bookmarkStart w:id="136" w:name="_Toc45884802"/>
      <w:bookmarkStart w:id="137" w:name="_Toc45884682"/>
      <w:bookmarkStart w:id="138" w:name="_Toc45884862"/>
      <w:bookmarkStart w:id="139" w:name="_Toc45884742"/>
      <w:r>
        <w:rPr>
          <w:rFonts w:hint="eastAsia" w:ascii="宋体" w:hAnsi="宋体" w:eastAsia="宋体"/>
          <w:b w:val="0"/>
          <w:bCs w:val="0"/>
          <w:color w:val="auto"/>
          <w:sz w:val="24"/>
          <w:highlight w:val="none"/>
        </w:rPr>
        <w:t>2.2.2询价小组依据法律法规和询价通知书的规定，</w:t>
      </w:r>
      <w:r>
        <w:rPr>
          <w:rFonts w:hint="eastAsia" w:ascii="宋体" w:hAnsi="宋体" w:eastAsia="宋体"/>
          <w:b w:val="0"/>
          <w:color w:val="auto"/>
          <w:sz w:val="24"/>
          <w:szCs w:val="24"/>
          <w:highlight w:val="none"/>
        </w:rPr>
        <w:t>应依据法律法规和询价文件的规定，对响应文件是否按照规定要求提供资格性证明材料、是否属于禁止参加询价的供应商等进行审查，以确定供应商是否具备询价资格。</w:t>
      </w:r>
      <w:bookmarkEnd w:id="136"/>
      <w:bookmarkEnd w:id="137"/>
      <w:bookmarkEnd w:id="138"/>
      <w:bookmarkEnd w:id="139"/>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2.2.3询价小组资格审查结束后，应当出具资格审查报告，并按照询价通知书的规定确定参加询价的供应商名单。没有通过资格审查的供应商，询价小组应当在资格审查报告中说明原因。</w:t>
      </w:r>
    </w:p>
    <w:p>
      <w:pPr>
        <w:adjustRightInd w:val="0"/>
        <w:spacing w:line="480" w:lineRule="atLeast"/>
        <w:ind w:firstLine="512"/>
        <w:rPr>
          <w:rFonts w:hint="eastAsia" w:ascii="宋体" w:hAnsi="宋体"/>
          <w:bCs/>
          <w:color w:val="auto"/>
          <w:sz w:val="24"/>
          <w:highlight w:val="none"/>
        </w:rPr>
      </w:pPr>
      <w:r>
        <w:rPr>
          <w:rFonts w:hint="eastAsia" w:ascii="宋体" w:hAnsi="宋体"/>
          <w:bCs/>
          <w:color w:val="auto"/>
          <w:sz w:val="24"/>
          <w:highlight w:val="none"/>
        </w:rPr>
        <w:t>2.3响应文件审查。</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供应商资格审查结束后，询价小组按照询价通知书的规定对供应商的响应文件进行书面审查。供应商响应文件未实质性响应询价通知书的，询价小组应当对其响应文件按无效处理，并书面告知供应商，说明理由。</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2.4一次性报价。</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2.4.1询价小组对供应商响应文件审查结束后，应当要求所有实质性响应的供应商在规定时间内按照询价通知书的规定一次报出不得更改的价格。</w:t>
      </w:r>
    </w:p>
    <w:p>
      <w:pPr>
        <w:pStyle w:val="10"/>
        <w:rPr>
          <w:rFonts w:hint="default" w:eastAsia="宋体"/>
          <w:lang w:val="en-US" w:eastAsia="zh-CN"/>
        </w:rPr>
      </w:pPr>
      <w:r>
        <w:rPr>
          <w:rFonts w:hint="eastAsia" w:ascii="宋体" w:hAnsi="宋体"/>
          <w:bCs/>
          <w:color w:val="auto"/>
          <w:sz w:val="24"/>
          <w:highlight w:val="none"/>
          <w:lang w:val="en-US" w:eastAsia="zh-CN"/>
        </w:rPr>
        <w:t xml:space="preserve">   </w:t>
      </w:r>
      <w:r>
        <w:rPr>
          <w:rFonts w:hint="eastAsia" w:ascii="宋体" w:hAnsi="宋体"/>
          <w:b/>
          <w:bCs w:val="0"/>
          <w:color w:val="auto"/>
          <w:sz w:val="24"/>
          <w:highlight w:val="none"/>
          <w:lang w:val="en-US" w:eastAsia="zh-CN"/>
        </w:rPr>
        <w:t>注：本项目要求供应商在响应文件中报出</w:t>
      </w:r>
      <w:r>
        <w:rPr>
          <w:rFonts w:hint="eastAsia" w:ascii="宋体" w:hAnsi="宋体"/>
          <w:b/>
          <w:bCs w:val="0"/>
          <w:color w:val="auto"/>
          <w:sz w:val="24"/>
          <w:highlight w:val="none"/>
        </w:rPr>
        <w:t>一次报出不得更改的价格</w:t>
      </w:r>
    </w:p>
    <w:p>
      <w:pPr>
        <w:spacing w:line="400" w:lineRule="exact"/>
        <w:ind w:firstLine="480" w:firstLineChars="200"/>
        <w:rPr>
          <w:rFonts w:hint="eastAsia"/>
          <w:color w:val="auto"/>
          <w:sz w:val="24"/>
          <w:highlight w:val="none"/>
        </w:rPr>
      </w:pPr>
      <w:r>
        <w:rPr>
          <w:rFonts w:hint="eastAsia" w:ascii="宋体" w:hAnsi="宋体"/>
          <w:bCs/>
          <w:color w:val="auto"/>
          <w:sz w:val="24"/>
          <w:highlight w:val="none"/>
        </w:rPr>
        <w:t>2.4.2</w:t>
      </w:r>
      <w:r>
        <w:rPr>
          <w:rFonts w:hint="eastAsia"/>
          <w:color w:val="auto"/>
          <w:sz w:val="24"/>
          <w:highlight w:val="none"/>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2.5复核。</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供应商报价结束后，询价小组应当进行评审复核，对拟推荐为成交候选供应商的、报价最低的、供应商资格审查未通过的、供应商被无效处理的重点复核。</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2.6推荐成交候选供应商。</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成交候选供应商应当排序。询价小组复核结束后，应当按照供应商的报价由低到高排序，推荐成交候选供应商。</w:t>
      </w:r>
      <w:r>
        <w:rPr>
          <w:rFonts w:hint="eastAsia" w:ascii="Times New Roman" w:hAnsi="Times New Roman" w:eastAsia="宋体" w:cs="Times New Roman"/>
          <w:color w:val="auto"/>
          <w:sz w:val="24"/>
          <w:highlight w:val="none"/>
        </w:rPr>
        <w:t>供应商报价相同，成交候选供应商并列</w:t>
      </w:r>
      <w:r>
        <w:rPr>
          <w:rFonts w:hint="eastAsia" w:ascii="Times New Roman" w:hAnsi="Times New Roman" w:eastAsia="宋体" w:cs="Times New Roman"/>
          <w:color w:val="auto"/>
          <w:sz w:val="24"/>
          <w:highlight w:val="none"/>
          <w:lang w:val="en-US" w:eastAsia="zh-CN"/>
        </w:rPr>
        <w:t>的</w:t>
      </w:r>
      <w:r>
        <w:rPr>
          <w:rFonts w:hint="eastAsia" w:ascii="Times New Roman" w:hAnsi="Times New Roman" w:eastAsia="宋体" w:cs="Times New Roman"/>
          <w:color w:val="auto"/>
          <w:sz w:val="24"/>
          <w:highlight w:val="none"/>
        </w:rPr>
        <w:t>，并列第一名的供应商</w:t>
      </w:r>
      <w:r>
        <w:rPr>
          <w:rFonts w:hint="eastAsia" w:ascii="Times New Roman" w:hAnsi="Times New Roman" w:eastAsia="宋体" w:cs="Times New Roman"/>
          <w:color w:val="auto"/>
          <w:sz w:val="24"/>
          <w:highlight w:val="none"/>
          <w:lang w:val="en-US" w:eastAsia="zh-CN"/>
        </w:rPr>
        <w:t>按照</w:t>
      </w:r>
      <w:r>
        <w:rPr>
          <w:rFonts w:hint="eastAsia" w:ascii="Times New Roman" w:hAnsi="Times New Roman" w:eastAsia="宋体" w:cs="Times New Roman"/>
          <w:color w:val="auto"/>
          <w:sz w:val="24"/>
          <w:highlight w:val="none"/>
        </w:rPr>
        <w:t>注册地在</w:t>
      </w:r>
      <w:r>
        <w:rPr>
          <w:rFonts w:hint="eastAsia" w:ascii="Times New Roman" w:hAnsi="Times New Roman" w:eastAsia="宋体" w:cs="Times New Roman"/>
          <w:color w:val="auto"/>
          <w:sz w:val="24"/>
          <w:highlight w:val="none"/>
          <w:lang w:val="zh-CN"/>
        </w:rPr>
        <w:t>不发达地区</w:t>
      </w:r>
      <w:r>
        <w:rPr>
          <w:rFonts w:hint="eastAsia" w:ascii="Times New Roman" w:hAnsi="Times New Roman" w:eastAsia="宋体" w:cs="Times New Roman"/>
          <w:color w:val="auto"/>
          <w:sz w:val="24"/>
          <w:highlight w:val="none"/>
          <w:lang w:val="en-US" w:eastAsia="zh-CN"/>
        </w:rPr>
        <w:t>和</w:t>
      </w:r>
      <w:r>
        <w:rPr>
          <w:rFonts w:hint="eastAsia" w:ascii="Times New Roman" w:hAnsi="Times New Roman" w:eastAsia="宋体" w:cs="Times New Roman"/>
          <w:color w:val="auto"/>
          <w:sz w:val="24"/>
          <w:highlight w:val="none"/>
        </w:rPr>
        <w:t>少数民族地区的</w:t>
      </w:r>
      <w:r>
        <w:rPr>
          <w:rFonts w:hint="eastAsia" w:ascii="Times New Roman" w:hAnsi="Times New Roman" w:eastAsia="宋体" w:cs="Times New Roman"/>
          <w:color w:val="auto"/>
          <w:sz w:val="24"/>
          <w:highlight w:val="none"/>
          <w:lang w:val="en-US" w:eastAsia="zh-CN"/>
        </w:rPr>
        <w:t>供应商优先</w:t>
      </w:r>
      <w:r>
        <w:rPr>
          <w:rFonts w:hint="eastAsia" w:ascii="Times New Roman" w:hAnsi="Times New Roman" w:eastAsia="宋体" w:cs="Times New Roman"/>
          <w:color w:val="auto"/>
          <w:sz w:val="24"/>
          <w:highlight w:val="none"/>
        </w:rPr>
        <w:t>的顺序</w:t>
      </w:r>
      <w:r>
        <w:rPr>
          <w:rFonts w:hint="eastAsia" w:ascii="Times New Roman" w:hAnsi="Times New Roman" w:eastAsia="宋体" w:cs="Times New Roman"/>
          <w:color w:val="auto"/>
          <w:sz w:val="24"/>
          <w:highlight w:val="none"/>
          <w:lang w:val="en-US" w:eastAsia="zh-CN"/>
        </w:rPr>
        <w:t>推荐。</w:t>
      </w:r>
      <w:r>
        <w:rPr>
          <w:rFonts w:hint="eastAsia" w:ascii="Times New Roman" w:hAnsi="Times New Roman" w:eastAsia="宋体" w:cs="Times New Roman"/>
          <w:color w:val="auto"/>
          <w:sz w:val="24"/>
          <w:highlight w:val="none"/>
        </w:rPr>
        <w:t>最后报价相同且</w:t>
      </w:r>
      <w:r>
        <w:rPr>
          <w:rFonts w:hint="eastAsia" w:ascii="Times New Roman" w:hAnsi="Times New Roman" w:eastAsia="宋体" w:cs="Times New Roman"/>
          <w:color w:val="auto"/>
          <w:sz w:val="24"/>
          <w:highlight w:val="none"/>
          <w:lang w:val="en-US" w:eastAsia="zh-CN"/>
        </w:rPr>
        <w:t>同属</w:t>
      </w:r>
      <w:r>
        <w:rPr>
          <w:rFonts w:hint="eastAsia" w:ascii="Times New Roman" w:hAnsi="Times New Roman" w:eastAsia="宋体" w:cs="Times New Roman"/>
          <w:color w:val="auto"/>
          <w:sz w:val="24"/>
          <w:highlight w:val="none"/>
        </w:rPr>
        <w:t>注册地在</w:t>
      </w:r>
      <w:r>
        <w:rPr>
          <w:rFonts w:hint="eastAsia" w:ascii="Times New Roman" w:hAnsi="Times New Roman" w:eastAsia="宋体" w:cs="Times New Roman"/>
          <w:color w:val="auto"/>
          <w:sz w:val="24"/>
          <w:highlight w:val="none"/>
          <w:lang w:val="zh-CN"/>
        </w:rPr>
        <w:t>不发达地区</w:t>
      </w:r>
      <w:r>
        <w:rPr>
          <w:rFonts w:hint="eastAsia" w:ascii="Times New Roman" w:hAnsi="Times New Roman" w:eastAsia="宋体" w:cs="Times New Roman"/>
          <w:color w:val="auto"/>
          <w:sz w:val="24"/>
          <w:highlight w:val="none"/>
          <w:lang w:val="en-US" w:eastAsia="zh-CN"/>
        </w:rPr>
        <w:t>和少数民族地区的</w:t>
      </w:r>
      <w:r>
        <w:rPr>
          <w:rFonts w:hint="eastAsia" w:ascii="Times New Roman" w:hAnsi="Times New Roman" w:eastAsia="宋体" w:cs="Times New Roman"/>
          <w:color w:val="auto"/>
          <w:sz w:val="24"/>
          <w:highlight w:val="none"/>
        </w:rPr>
        <w:t>成交候选供应商并列，由采购人</w:t>
      </w:r>
      <w:r>
        <w:rPr>
          <w:rFonts w:hint="eastAsia" w:ascii="Times New Roman" w:hAnsi="Times New Roman" w:eastAsia="宋体" w:cs="Times New Roman"/>
          <w:color w:val="auto"/>
          <w:sz w:val="24"/>
          <w:highlight w:val="none"/>
          <w:lang w:val="en-US" w:eastAsia="zh-CN"/>
        </w:rPr>
        <w:t>或</w:t>
      </w:r>
      <w:r>
        <w:rPr>
          <w:rFonts w:hint="eastAsia" w:ascii="Times New Roman" w:hAnsi="Times New Roman" w:eastAsia="宋体" w:cs="Times New Roman"/>
          <w:color w:val="auto"/>
          <w:sz w:val="24"/>
          <w:highlight w:val="none"/>
        </w:rPr>
        <w:t>随机抽签确定成交供应商</w:t>
      </w:r>
      <w:r>
        <w:rPr>
          <w:rFonts w:hint="eastAsia" w:ascii="Times New Roman" w:hAnsi="Times New Roman" w:eastAsia="宋体" w:cs="Times New Roman"/>
          <w:color w:val="auto"/>
          <w:sz w:val="24"/>
          <w:highlight w:val="none"/>
          <w:lang w:val="en-US" w:eastAsia="zh-CN"/>
        </w:rPr>
        <w:t>或</w:t>
      </w:r>
      <w:r>
        <w:rPr>
          <w:rFonts w:hint="eastAsia" w:ascii="Times New Roman" w:hAnsi="Times New Roman" w:eastAsia="宋体" w:cs="Times New Roman"/>
          <w:color w:val="auto"/>
          <w:sz w:val="24"/>
          <w:highlight w:val="none"/>
        </w:rPr>
        <w:t>由采购人自主采取公平择优的方式选择成交供应商。</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2.7现场复核</w:t>
      </w:r>
    </w:p>
    <w:p>
      <w:pPr>
        <w:spacing w:line="400" w:lineRule="exact"/>
        <w:ind w:firstLine="480" w:firstLineChars="200"/>
        <w:rPr>
          <w:rFonts w:hint="eastAsia"/>
          <w:color w:val="auto"/>
          <w:sz w:val="24"/>
          <w:highlight w:val="none"/>
        </w:rPr>
      </w:pPr>
      <w:r>
        <w:rPr>
          <w:rFonts w:hint="eastAsia" w:ascii="宋体" w:hAnsi="宋体"/>
          <w:color w:val="auto"/>
          <w:sz w:val="24"/>
          <w:highlight w:val="none"/>
        </w:rPr>
        <w:t>2.7.1</w:t>
      </w:r>
      <w:r>
        <w:rPr>
          <w:rFonts w:hint="eastAsia"/>
          <w:color w:val="auto"/>
          <w:sz w:val="24"/>
          <w:highlight w:val="none"/>
        </w:rPr>
        <w:t>推荐</w:t>
      </w:r>
      <w:r>
        <w:rPr>
          <w:rFonts w:hint="eastAsia" w:ascii="宋体" w:hAnsi="宋体"/>
          <w:bCs/>
          <w:color w:val="auto"/>
          <w:sz w:val="24"/>
          <w:highlight w:val="none"/>
        </w:rPr>
        <w:t>成交候选供应商</w:t>
      </w:r>
      <w:r>
        <w:rPr>
          <w:rFonts w:hint="eastAsia"/>
          <w:color w:val="auto"/>
          <w:sz w:val="24"/>
          <w:highlight w:val="none"/>
        </w:rPr>
        <w:t>后，询价小组拟出具询价报告前，采购人应当组织2名以上的本单位工作人员，在采购现场监督人员的监督之下，依据有关的法律制度和询价通知书对评审结果进行复核，出具复核报告，存在资格性审查认定错误的，采购人应当根据情况书面建议询价小组现场修改评审结果。由询价小组自主决定是否采纳采购人/的书面建议，并承担独立评审责任。询价小组采纳采购人书面建议的，应当按照规定现场修改评审结果或者重新评审，并在询价报告中详细记载有关事宜；不采纳采购人/书面建议的，应当书面说明理由。采购人书面建议未被询价小组采纳的，应当接照规定程序要求继续组织实施采购活动，不得擅自中止采购活动。采购人认为询价小组评审结果不合法的，应当书面报告采购项目同级财政部门。</w:t>
      </w:r>
    </w:p>
    <w:p>
      <w:pPr>
        <w:spacing w:line="400" w:lineRule="exact"/>
        <w:ind w:firstLine="480" w:firstLineChars="200"/>
        <w:rPr>
          <w:rFonts w:hint="eastAsia"/>
          <w:color w:val="auto"/>
          <w:sz w:val="24"/>
          <w:highlight w:val="none"/>
        </w:rPr>
      </w:pPr>
      <w:r>
        <w:rPr>
          <w:rFonts w:hint="eastAsia"/>
          <w:color w:val="auto"/>
          <w:sz w:val="24"/>
          <w:highlight w:val="none"/>
        </w:rPr>
        <w:t>采购人复核过程中，询价小组成员不得离开评审现场。</w:t>
      </w:r>
    </w:p>
    <w:p>
      <w:pPr>
        <w:spacing w:line="400" w:lineRule="exact"/>
        <w:ind w:firstLine="480" w:firstLineChars="200"/>
        <w:rPr>
          <w:rFonts w:hint="eastAsia"/>
          <w:color w:val="auto"/>
          <w:sz w:val="24"/>
          <w:highlight w:val="none"/>
        </w:rPr>
      </w:pPr>
      <w:r>
        <w:rPr>
          <w:rFonts w:hint="eastAsia" w:ascii="宋体" w:hAnsi="宋体"/>
          <w:color w:val="auto"/>
          <w:sz w:val="24"/>
          <w:highlight w:val="none"/>
        </w:rPr>
        <w:t>2.7.2</w:t>
      </w:r>
      <w:r>
        <w:rPr>
          <w:rFonts w:hint="eastAsia"/>
          <w:color w:val="auto"/>
          <w:sz w:val="24"/>
          <w:highlight w:val="none"/>
        </w:rPr>
        <w:t>有下列情形之一的，不得现场修改评审结果：</w:t>
      </w:r>
    </w:p>
    <w:p>
      <w:pPr>
        <w:spacing w:line="400" w:lineRule="exact"/>
        <w:ind w:firstLine="480" w:firstLineChars="200"/>
        <w:rPr>
          <w:rFonts w:hint="eastAsia"/>
          <w:color w:val="auto"/>
          <w:sz w:val="24"/>
          <w:highlight w:val="none"/>
        </w:rPr>
      </w:pPr>
      <w:r>
        <w:rPr>
          <w:rFonts w:hint="eastAsia"/>
          <w:color w:val="auto"/>
          <w:sz w:val="24"/>
          <w:highlight w:val="none"/>
        </w:rPr>
        <w:t>（1）询价小组已经出具询价报告并且离开评审现场的；</w:t>
      </w:r>
    </w:p>
    <w:p>
      <w:pPr>
        <w:spacing w:line="400" w:lineRule="exact"/>
        <w:ind w:firstLine="480" w:firstLineChars="200"/>
        <w:rPr>
          <w:rFonts w:hint="eastAsia"/>
          <w:color w:val="auto"/>
          <w:sz w:val="24"/>
          <w:highlight w:val="none"/>
        </w:rPr>
      </w:pPr>
      <w:r>
        <w:rPr>
          <w:rFonts w:hint="eastAsia"/>
          <w:color w:val="auto"/>
          <w:sz w:val="24"/>
          <w:highlight w:val="none"/>
        </w:rPr>
        <w:t>（2）采购人现场复核时，复核工作人员数量不足的；</w:t>
      </w:r>
    </w:p>
    <w:p>
      <w:pPr>
        <w:spacing w:line="400" w:lineRule="exact"/>
        <w:ind w:firstLine="480" w:firstLineChars="200"/>
        <w:rPr>
          <w:rFonts w:hint="eastAsia"/>
          <w:color w:val="auto"/>
          <w:sz w:val="24"/>
          <w:highlight w:val="none"/>
        </w:rPr>
      </w:pPr>
      <w:r>
        <w:rPr>
          <w:rFonts w:hint="eastAsia"/>
          <w:color w:val="auto"/>
          <w:sz w:val="24"/>
          <w:highlight w:val="none"/>
        </w:rPr>
        <w:t>（3）采购人现场复核时，没有采购监督人员现场监督的；</w:t>
      </w:r>
    </w:p>
    <w:p>
      <w:pPr>
        <w:spacing w:line="400" w:lineRule="exact"/>
        <w:ind w:firstLine="480" w:firstLineChars="200"/>
        <w:rPr>
          <w:rFonts w:hint="eastAsia"/>
          <w:color w:val="auto"/>
          <w:sz w:val="24"/>
          <w:highlight w:val="none"/>
        </w:rPr>
      </w:pPr>
      <w:r>
        <w:rPr>
          <w:rFonts w:hint="eastAsia"/>
          <w:color w:val="auto"/>
          <w:sz w:val="24"/>
          <w:highlight w:val="none"/>
        </w:rPr>
        <w:t>（4）采购人现场复核内容超出规定范围的；</w:t>
      </w:r>
    </w:p>
    <w:p>
      <w:pPr>
        <w:spacing w:line="400" w:lineRule="exact"/>
        <w:ind w:firstLine="480" w:firstLineChars="200"/>
        <w:rPr>
          <w:rFonts w:hint="eastAsia"/>
          <w:color w:val="auto"/>
          <w:sz w:val="24"/>
          <w:highlight w:val="none"/>
        </w:rPr>
      </w:pPr>
      <w:r>
        <w:rPr>
          <w:rFonts w:hint="eastAsia"/>
          <w:color w:val="auto"/>
          <w:sz w:val="24"/>
          <w:highlight w:val="none"/>
        </w:rPr>
        <w:t>（5）采购人未提供书面建议的。</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2.8出具询价报告。询价报告应当包括下列内容：</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2.9询价小组在询价过程中，不得改变询价通知书所确定的技术和服务等要求、评审程序、评定成交的标准和合同文本等事项。</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2.10供应商资格审查应当以有关法律法规和采购文件为依据，审查范围不能超过法律法规和询价通知书中对供应商的资格条件要求。</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2.11有失信行为记入诚信档案且在有效期内的供应商，实行10%的报价加成，以加成后报价作为该供应商报价评审。因其失信行为进行报价加成惩戒后报价超过政府采购预算的，其响应文件按照无效处理。</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供应商参加政府采购活动时，应当就自己的诚信情况在响应文件中进行承诺或注明。</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2.12 在评审过程中，供应商报价低于采购预算的50%或者低于其他有效供应商报价算术平均价的40%，有可能影响产品质量或者不能诚信履约的，询价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pPr>
        <w:adjustRightInd w:val="0"/>
        <w:snapToGrid w:val="0"/>
        <w:spacing w:line="40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供应商书面说明应当签字确认或者加盖公章，否则无效。</w:t>
      </w:r>
    </w:p>
    <w:p>
      <w:pPr>
        <w:adjustRightInd w:val="0"/>
        <w:snapToGrid w:val="0"/>
        <w:spacing w:line="40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询价小组应当将其响应文件作为无效处理。</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2.13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14</w:t>
      </w:r>
      <w:r>
        <w:rPr>
          <w:rFonts w:hint="eastAsia" w:ascii="宋体" w:hAnsi="宋体"/>
          <w:bCs/>
          <w:color w:val="auto"/>
          <w:sz w:val="24"/>
          <w:highlight w:val="none"/>
        </w:rPr>
        <w:t xml:space="preserve"> 供应商在报价过程中，不得串通。发现供应商存在串通的，询价小组应将其响应文件作无效处理。</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15</w:t>
      </w:r>
      <w:r>
        <w:rPr>
          <w:rFonts w:hint="eastAsia" w:ascii="宋体" w:hAnsi="宋体"/>
          <w:bCs/>
          <w:color w:val="auto"/>
          <w:sz w:val="24"/>
          <w:highlight w:val="none"/>
        </w:rPr>
        <w:t>出现下列情形之一的，终止询价采购活动：</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（一）因情况变化，不再符合规定的询价采购方式适用情形的；</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（二）出现影响采购公正的违法、违规行为的；</w:t>
      </w:r>
    </w:p>
    <w:p>
      <w:pPr>
        <w:adjustRightInd w:val="0"/>
        <w:snapToGrid w:val="0"/>
        <w:spacing w:line="400" w:lineRule="exact"/>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（三）在采购过程中符合竞争要求的供应商或者报价未超过采购预算的供应商不足3家的。</w:t>
      </w:r>
    </w:p>
    <w:p>
      <w:pPr>
        <w:adjustRightInd w:val="0"/>
        <w:snapToGrid w:val="0"/>
        <w:spacing w:line="40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3.评审纪律</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3.1询价小组在采购活动过程中，应当按照《中华人民共和国政府采购法实施条例》、《政府采购非招标采购方式管理办法》的规定履行职责和义务，不得违法评审、违反评审工作纪律。</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3.2评审过程在严格保密的情况下进行，任何单位和个人不得非法干预、影响询价过程和结果。</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3.3询价小组成员以及与评审工作有关的人员不得泄露评审情况以及评审过程中获悉的国家秘密、商业秘密。</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3.4询价小组成员应当遵守下列工作纪律：</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（一）遵行《政府采购法》第十二条和《政府采购法实施条例》第九条及财政部关于回避的规定。</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（二）评审前，应当将通讯工具或者相关电子设备交由采购组织单位统一保管。</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（三）评审过程中，不得与外界联系，因发生不可预见情况，确实需要与外界联系的，应当在监督人员监督之下办理。</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四）评审过程中，不得干预或者影响正常评审工作，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（五）在评审过程中和评审结束后，不得记录、复制或带走任何评审资料，除因履行法律法规规定的义务外，不得向外界透露评审内容。</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（六）服从评审现场采购组织单位的现场秩序管理，接受评审现场监督人员的合法监督。</w:t>
      </w:r>
    </w:p>
    <w:p>
      <w:pPr>
        <w:adjustRightInd w:val="0"/>
        <w:snapToGrid w:val="0"/>
        <w:spacing w:line="4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（七）遵守有关廉洁自律规定，不得私下接触供应商，不得收受供应商及有关业务单位和个人的财物或好处，不得接受采购组织单位的请托。</w:t>
      </w:r>
    </w:p>
    <w:p>
      <w:pPr>
        <w:numPr>
          <w:ilvl w:val="0"/>
          <w:numId w:val="0"/>
        </w:numPr>
        <w:rPr>
          <w:rFonts w:hint="eastAsia"/>
        </w:rPr>
      </w:pPr>
    </w:p>
    <w:sectPr>
      <w:footerReference r:id="rId3" w:type="default"/>
      <w:pgSz w:w="11906" w:h="16838"/>
      <w:pgMar w:top="1276" w:right="1440" w:bottom="1134" w:left="1474" w:header="851" w:footer="854"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59A292-58CB-45F2-A952-13DB1D3B4D2D}"/>
  </w:font>
  <w:font w:name="黑体">
    <w:panose1 w:val="02010609060101010101"/>
    <w:charset w:val="86"/>
    <w:family w:val="auto"/>
    <w:pitch w:val="default"/>
    <w:sig w:usb0="800002BF" w:usb1="38CF7CFA" w:usb2="00000016" w:usb3="00000000" w:csb0="00040001" w:csb1="00000000"/>
    <w:embedRegular r:id="rId2" w:fontKey="{FB1DE6DD-B622-4A45-8111-E6CBECA202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3" w:fontKey="{0997077A-A485-4307-8EA8-964C38ACBF1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4" w:fontKey="{7C7D8D84-AA43-4CD9-8ED3-5D8673515A54}"/>
  </w:font>
  <w:font w:name="Arial Unicode MS">
    <w:panose1 w:val="020B0604020202020204"/>
    <w:charset w:val="86"/>
    <w:family w:val="auto"/>
    <w:pitch w:val="default"/>
    <w:sig w:usb0="FFFFFFFF" w:usb1="E9FFFFFF" w:usb2="0000003F" w:usb3="00000000" w:csb0="603F01FF" w:csb1="FFFF0000"/>
    <w:embedRegular r:id="rId5" w:fontKey="{FFD4196C-8C81-46AC-9F84-F95752D3A3A3}"/>
  </w:font>
  <w:font w:name="楷体">
    <w:panose1 w:val="02010609060101010101"/>
    <w:charset w:val="86"/>
    <w:family w:val="modern"/>
    <w:pitch w:val="default"/>
    <w:sig w:usb0="800002BF" w:usb1="38CF7CFA" w:usb2="00000016" w:usb3="00000000" w:csb0="00040001" w:csb1="00000000"/>
    <w:embedRegular r:id="rId6" w:fontKey="{F3D6D25D-B669-4DDF-BA35-D0D9FA4D60BE}"/>
  </w:font>
  <w:font w:name="华文中宋">
    <w:panose1 w:val="02010600040101010101"/>
    <w:charset w:val="86"/>
    <w:family w:val="auto"/>
    <w:pitch w:val="default"/>
    <w:sig w:usb0="00000287" w:usb1="080F0000" w:usb2="00000000" w:usb3="00000000" w:csb0="0004009F" w:csb1="DFD70000"/>
    <w:embedRegular r:id="rId7" w:fontKey="{1002A60D-36BD-4114-BD79-37C01F1EF370}"/>
  </w:font>
  <w:font w:name="仿宋">
    <w:panose1 w:val="02010609060101010101"/>
    <w:charset w:val="86"/>
    <w:family w:val="modern"/>
    <w:pitch w:val="default"/>
    <w:sig w:usb0="800002BF" w:usb1="38CF7CFA" w:usb2="00000016" w:usb3="00000000" w:csb0="00040001" w:csb1="00000000"/>
    <w:embedRegular r:id="rId8" w:fontKey="{4979DA8C-71B9-41D2-B1DD-7E010B6B3BE6}"/>
  </w:font>
  <w:font w:name="等线 Light">
    <w:panose1 w:val="02010600030101010101"/>
    <w:charset w:val="86"/>
    <w:family w:val="auto"/>
    <w:pitch w:val="default"/>
    <w:sig w:usb0="A00002BF" w:usb1="38CF7CFA" w:usb2="00000016" w:usb3="00000000" w:csb0="0004000F" w:csb1="00000000"/>
    <w:embedRegular r:id="rId9" w:fontKey="{0A1CDAC2-A070-429B-BA63-FA7F2DC0376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ascii="等线 Light" w:hAnsi="等线 Light" w:eastAsia="等线 Light"/>
        <w:szCs w:val="18"/>
      </w:rPr>
    </w:pPr>
    <w:r>
      <w:rPr>
        <w:rFonts w:ascii="等线 Light" w:hAnsi="等线 Light" w:eastAsia="等线 Light"/>
        <w:szCs w:val="18"/>
        <w:lang w:val="zh-CN"/>
      </w:rPr>
      <w:t xml:space="preserve">~ </w:t>
    </w:r>
    <w:r>
      <w:rPr>
        <w:rFonts w:ascii="等线" w:hAnsi="等线" w:eastAsia="等线"/>
        <w:szCs w:val="18"/>
      </w:rPr>
      <w:fldChar w:fldCharType="begin"/>
    </w:r>
    <w:r>
      <w:rPr>
        <w:szCs w:val="18"/>
      </w:rPr>
      <w:instrText xml:space="preserve">PAGE    \* MERGEFORMAT</w:instrText>
    </w:r>
    <w:r>
      <w:rPr>
        <w:rFonts w:ascii="等线" w:hAnsi="等线" w:eastAsia="等线"/>
        <w:szCs w:val="18"/>
      </w:rPr>
      <w:fldChar w:fldCharType="separate"/>
    </w:r>
    <w:r>
      <w:rPr>
        <w:rFonts w:ascii="等线 Light" w:hAnsi="等线 Light" w:eastAsia="等线 Light"/>
        <w:szCs w:val="18"/>
        <w:lang w:val="zh-CN"/>
      </w:rPr>
      <w:t>1</w:t>
    </w:r>
    <w:r>
      <w:rPr>
        <w:rFonts w:ascii="等线 Light" w:hAnsi="等线 Light" w:eastAsia="等线 Light"/>
        <w:szCs w:val="18"/>
      </w:rPr>
      <w:fldChar w:fldCharType="end"/>
    </w:r>
    <w:r>
      <w:rPr>
        <w:rFonts w:ascii="等线 Light" w:hAnsi="等线 Light" w:eastAsia="等线 Light"/>
        <w:szCs w:val="18"/>
        <w:lang w:val="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A425E8"/>
    <w:multiLevelType w:val="singleLevel"/>
    <w:tmpl w:val="F0A425E8"/>
    <w:lvl w:ilvl="0" w:tentative="0">
      <w:start w:val="1"/>
      <w:numFmt w:val="decimal"/>
      <w:lvlText w:val="%1."/>
      <w:lvlJc w:val="left"/>
      <w:pPr>
        <w:tabs>
          <w:tab w:val="left" w:pos="312"/>
        </w:tabs>
      </w:pPr>
    </w:lvl>
  </w:abstractNum>
  <w:abstractNum w:abstractNumId="1">
    <w:nsid w:val="0F2D6E99"/>
    <w:multiLevelType w:val="multilevel"/>
    <w:tmpl w:val="0F2D6E99"/>
    <w:lvl w:ilvl="0" w:tentative="0">
      <w:start w:val="1"/>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299EB028"/>
    <w:multiLevelType w:val="singleLevel"/>
    <w:tmpl w:val="299EB028"/>
    <w:lvl w:ilvl="0" w:tentative="0">
      <w:start w:val="1"/>
      <w:numFmt w:val="decimal"/>
      <w:lvlText w:val="（%1)"/>
      <w:lvlJc w:val="left"/>
      <w:pPr>
        <w:tabs>
          <w:tab w:val="left" w:pos="312"/>
        </w:tabs>
        <w:ind w:left="480" w:firstLine="0"/>
      </w:pPr>
    </w:lvl>
  </w:abstractNum>
  <w:abstractNum w:abstractNumId="3">
    <w:nsid w:val="3F5B3873"/>
    <w:multiLevelType w:val="multilevel"/>
    <w:tmpl w:val="3F5B3873"/>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4">
    <w:nsid w:val="5025EDC7"/>
    <w:multiLevelType w:val="singleLevel"/>
    <w:tmpl w:val="5025EDC7"/>
    <w:lvl w:ilvl="0" w:tentative="0">
      <w:start w:val="7"/>
      <w:numFmt w:val="chineseCounting"/>
      <w:suff w:val="space"/>
      <w:lvlText w:val="第%1章"/>
      <w:lvlJc w:val="left"/>
      <w:rPr>
        <w:rFonts w:hint="eastAsia"/>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NGRlYmNkZWJmYzJmMjQxNTYyY2NlNTkxYzU0NjMifQ=="/>
  </w:docVars>
  <w:rsids>
    <w:rsidRoot w:val="526F6364"/>
    <w:rsid w:val="00000507"/>
    <w:rsid w:val="00000BCF"/>
    <w:rsid w:val="00000D78"/>
    <w:rsid w:val="00002A3A"/>
    <w:rsid w:val="00020A84"/>
    <w:rsid w:val="00024473"/>
    <w:rsid w:val="00024B87"/>
    <w:rsid w:val="0002566D"/>
    <w:rsid w:val="000322F9"/>
    <w:rsid w:val="00032BAE"/>
    <w:rsid w:val="0003753E"/>
    <w:rsid w:val="00044578"/>
    <w:rsid w:val="000473C7"/>
    <w:rsid w:val="00052263"/>
    <w:rsid w:val="000552F4"/>
    <w:rsid w:val="0005544E"/>
    <w:rsid w:val="00057F32"/>
    <w:rsid w:val="000621FE"/>
    <w:rsid w:val="000622A3"/>
    <w:rsid w:val="00070753"/>
    <w:rsid w:val="00071289"/>
    <w:rsid w:val="00075B1F"/>
    <w:rsid w:val="00077E77"/>
    <w:rsid w:val="0008077D"/>
    <w:rsid w:val="000902D1"/>
    <w:rsid w:val="00096FB2"/>
    <w:rsid w:val="00097801"/>
    <w:rsid w:val="000A0B3C"/>
    <w:rsid w:val="000B0B8D"/>
    <w:rsid w:val="000B46B8"/>
    <w:rsid w:val="000C1A85"/>
    <w:rsid w:val="000D4A3F"/>
    <w:rsid w:val="000D4F32"/>
    <w:rsid w:val="000D5823"/>
    <w:rsid w:val="000E07F5"/>
    <w:rsid w:val="000E1AB7"/>
    <w:rsid w:val="000F21A6"/>
    <w:rsid w:val="000F6350"/>
    <w:rsid w:val="000F7CC4"/>
    <w:rsid w:val="00100D0B"/>
    <w:rsid w:val="001046C5"/>
    <w:rsid w:val="00110110"/>
    <w:rsid w:val="001255CE"/>
    <w:rsid w:val="0012664E"/>
    <w:rsid w:val="001303B9"/>
    <w:rsid w:val="001304BA"/>
    <w:rsid w:val="00130987"/>
    <w:rsid w:val="00130AD6"/>
    <w:rsid w:val="001335FB"/>
    <w:rsid w:val="001416D0"/>
    <w:rsid w:val="00141B48"/>
    <w:rsid w:val="00142CBF"/>
    <w:rsid w:val="00144BD4"/>
    <w:rsid w:val="00150FE2"/>
    <w:rsid w:val="00151BF0"/>
    <w:rsid w:val="001524C3"/>
    <w:rsid w:val="00166D52"/>
    <w:rsid w:val="00177056"/>
    <w:rsid w:val="00177A44"/>
    <w:rsid w:val="00184C57"/>
    <w:rsid w:val="00192DD8"/>
    <w:rsid w:val="001B2D5E"/>
    <w:rsid w:val="001B7882"/>
    <w:rsid w:val="001C55BC"/>
    <w:rsid w:val="001C5BF0"/>
    <w:rsid w:val="001C7512"/>
    <w:rsid w:val="001D4383"/>
    <w:rsid w:val="001E1B4B"/>
    <w:rsid w:val="001E200E"/>
    <w:rsid w:val="001F0EB4"/>
    <w:rsid w:val="001F1A84"/>
    <w:rsid w:val="001F4561"/>
    <w:rsid w:val="00210FDF"/>
    <w:rsid w:val="00211221"/>
    <w:rsid w:val="0021330E"/>
    <w:rsid w:val="00225E23"/>
    <w:rsid w:val="00230C79"/>
    <w:rsid w:val="0023102C"/>
    <w:rsid w:val="00240845"/>
    <w:rsid w:val="00243F8A"/>
    <w:rsid w:val="00252952"/>
    <w:rsid w:val="00261DA7"/>
    <w:rsid w:val="002620DF"/>
    <w:rsid w:val="0026312E"/>
    <w:rsid w:val="002634EF"/>
    <w:rsid w:val="002638CD"/>
    <w:rsid w:val="00272DEE"/>
    <w:rsid w:val="00275409"/>
    <w:rsid w:val="002814CA"/>
    <w:rsid w:val="00281D71"/>
    <w:rsid w:val="00290B41"/>
    <w:rsid w:val="00291426"/>
    <w:rsid w:val="0029730C"/>
    <w:rsid w:val="002A1D48"/>
    <w:rsid w:val="002A3F4A"/>
    <w:rsid w:val="002C2332"/>
    <w:rsid w:val="002C3435"/>
    <w:rsid w:val="002C7148"/>
    <w:rsid w:val="002C7E13"/>
    <w:rsid w:val="002D2B0D"/>
    <w:rsid w:val="002E5166"/>
    <w:rsid w:val="002E5491"/>
    <w:rsid w:val="002F1B0A"/>
    <w:rsid w:val="002F2627"/>
    <w:rsid w:val="002F3D71"/>
    <w:rsid w:val="00304F74"/>
    <w:rsid w:val="0031667C"/>
    <w:rsid w:val="00317A67"/>
    <w:rsid w:val="00317D92"/>
    <w:rsid w:val="00322497"/>
    <w:rsid w:val="00322594"/>
    <w:rsid w:val="0032504F"/>
    <w:rsid w:val="0032548C"/>
    <w:rsid w:val="003255F9"/>
    <w:rsid w:val="00327A4F"/>
    <w:rsid w:val="00332A04"/>
    <w:rsid w:val="00341D69"/>
    <w:rsid w:val="00345BA9"/>
    <w:rsid w:val="00351E10"/>
    <w:rsid w:val="003616E4"/>
    <w:rsid w:val="00370669"/>
    <w:rsid w:val="003730C9"/>
    <w:rsid w:val="00374430"/>
    <w:rsid w:val="00374B77"/>
    <w:rsid w:val="00374BB5"/>
    <w:rsid w:val="00380225"/>
    <w:rsid w:val="0038052C"/>
    <w:rsid w:val="003821F6"/>
    <w:rsid w:val="00382900"/>
    <w:rsid w:val="00384D56"/>
    <w:rsid w:val="003958E3"/>
    <w:rsid w:val="003A2255"/>
    <w:rsid w:val="003A2912"/>
    <w:rsid w:val="003A4269"/>
    <w:rsid w:val="003B32D7"/>
    <w:rsid w:val="003B422D"/>
    <w:rsid w:val="003C4D71"/>
    <w:rsid w:val="003D19E1"/>
    <w:rsid w:val="003D52F9"/>
    <w:rsid w:val="003E013A"/>
    <w:rsid w:val="003E3212"/>
    <w:rsid w:val="003E3362"/>
    <w:rsid w:val="003E4E4B"/>
    <w:rsid w:val="003E71D5"/>
    <w:rsid w:val="003F25F6"/>
    <w:rsid w:val="003F39A9"/>
    <w:rsid w:val="0041014E"/>
    <w:rsid w:val="00411B48"/>
    <w:rsid w:val="00412010"/>
    <w:rsid w:val="00415B66"/>
    <w:rsid w:val="004173E3"/>
    <w:rsid w:val="0042518F"/>
    <w:rsid w:val="00430E72"/>
    <w:rsid w:val="00431AEB"/>
    <w:rsid w:val="00431F5C"/>
    <w:rsid w:val="0044361F"/>
    <w:rsid w:val="004454D7"/>
    <w:rsid w:val="00445CA2"/>
    <w:rsid w:val="00451808"/>
    <w:rsid w:val="00456B28"/>
    <w:rsid w:val="00465584"/>
    <w:rsid w:val="004659F4"/>
    <w:rsid w:val="00466999"/>
    <w:rsid w:val="004700C8"/>
    <w:rsid w:val="00472CA7"/>
    <w:rsid w:val="00476612"/>
    <w:rsid w:val="00480012"/>
    <w:rsid w:val="004807D9"/>
    <w:rsid w:val="00480C72"/>
    <w:rsid w:val="004811A1"/>
    <w:rsid w:val="00486FC6"/>
    <w:rsid w:val="0049094E"/>
    <w:rsid w:val="00491004"/>
    <w:rsid w:val="00493C6B"/>
    <w:rsid w:val="00495F28"/>
    <w:rsid w:val="004A4DAE"/>
    <w:rsid w:val="004A575F"/>
    <w:rsid w:val="004A708E"/>
    <w:rsid w:val="004B015C"/>
    <w:rsid w:val="004B0A8B"/>
    <w:rsid w:val="004B3941"/>
    <w:rsid w:val="004B5B87"/>
    <w:rsid w:val="004B7D80"/>
    <w:rsid w:val="004C3681"/>
    <w:rsid w:val="004C377C"/>
    <w:rsid w:val="004C47DF"/>
    <w:rsid w:val="004C6121"/>
    <w:rsid w:val="004D1BD2"/>
    <w:rsid w:val="004D2EDF"/>
    <w:rsid w:val="004E1B7B"/>
    <w:rsid w:val="004E6FF3"/>
    <w:rsid w:val="004E7666"/>
    <w:rsid w:val="004F236C"/>
    <w:rsid w:val="004F2898"/>
    <w:rsid w:val="004F317F"/>
    <w:rsid w:val="004F40B1"/>
    <w:rsid w:val="004F7E0A"/>
    <w:rsid w:val="00503572"/>
    <w:rsid w:val="00504526"/>
    <w:rsid w:val="00524B70"/>
    <w:rsid w:val="005265DC"/>
    <w:rsid w:val="00526F88"/>
    <w:rsid w:val="005319B7"/>
    <w:rsid w:val="00533CCC"/>
    <w:rsid w:val="005432B0"/>
    <w:rsid w:val="00546DA6"/>
    <w:rsid w:val="00547F80"/>
    <w:rsid w:val="00551A1C"/>
    <w:rsid w:val="005612C9"/>
    <w:rsid w:val="00565278"/>
    <w:rsid w:val="005668F2"/>
    <w:rsid w:val="00571C70"/>
    <w:rsid w:val="0057476D"/>
    <w:rsid w:val="00575DED"/>
    <w:rsid w:val="00577E77"/>
    <w:rsid w:val="00584B7F"/>
    <w:rsid w:val="00595214"/>
    <w:rsid w:val="005956D5"/>
    <w:rsid w:val="00596461"/>
    <w:rsid w:val="005A1941"/>
    <w:rsid w:val="005A3F43"/>
    <w:rsid w:val="005B0F32"/>
    <w:rsid w:val="005B29D8"/>
    <w:rsid w:val="005B2D98"/>
    <w:rsid w:val="005D2A0D"/>
    <w:rsid w:val="005D446E"/>
    <w:rsid w:val="005D4A52"/>
    <w:rsid w:val="005D7B92"/>
    <w:rsid w:val="005E1650"/>
    <w:rsid w:val="005E1E89"/>
    <w:rsid w:val="005E2FE3"/>
    <w:rsid w:val="005E7F51"/>
    <w:rsid w:val="005F0043"/>
    <w:rsid w:val="005F4719"/>
    <w:rsid w:val="005F4AF7"/>
    <w:rsid w:val="00601CBA"/>
    <w:rsid w:val="0060577E"/>
    <w:rsid w:val="00616137"/>
    <w:rsid w:val="00622352"/>
    <w:rsid w:val="006235E8"/>
    <w:rsid w:val="006235FF"/>
    <w:rsid w:val="00624875"/>
    <w:rsid w:val="00630394"/>
    <w:rsid w:val="00641467"/>
    <w:rsid w:val="006414FB"/>
    <w:rsid w:val="00642E1E"/>
    <w:rsid w:val="00644159"/>
    <w:rsid w:val="00645569"/>
    <w:rsid w:val="00652B4D"/>
    <w:rsid w:val="00654725"/>
    <w:rsid w:val="00657F53"/>
    <w:rsid w:val="00660319"/>
    <w:rsid w:val="006611FB"/>
    <w:rsid w:val="006656E4"/>
    <w:rsid w:val="006678FC"/>
    <w:rsid w:val="00670CF2"/>
    <w:rsid w:val="00677058"/>
    <w:rsid w:val="006916CC"/>
    <w:rsid w:val="00692A5D"/>
    <w:rsid w:val="006944D6"/>
    <w:rsid w:val="006A4C97"/>
    <w:rsid w:val="006C4F34"/>
    <w:rsid w:val="006E2DF3"/>
    <w:rsid w:val="006E5AAA"/>
    <w:rsid w:val="006F259C"/>
    <w:rsid w:val="006F305D"/>
    <w:rsid w:val="006F4036"/>
    <w:rsid w:val="006F5917"/>
    <w:rsid w:val="006F5929"/>
    <w:rsid w:val="00701691"/>
    <w:rsid w:val="00712510"/>
    <w:rsid w:val="007205BD"/>
    <w:rsid w:val="00732E6E"/>
    <w:rsid w:val="00737772"/>
    <w:rsid w:val="00744D53"/>
    <w:rsid w:val="0075261B"/>
    <w:rsid w:val="00763F93"/>
    <w:rsid w:val="00772733"/>
    <w:rsid w:val="007774FA"/>
    <w:rsid w:val="0078599E"/>
    <w:rsid w:val="00790E41"/>
    <w:rsid w:val="00790EA2"/>
    <w:rsid w:val="0079248C"/>
    <w:rsid w:val="007A0AC8"/>
    <w:rsid w:val="007A44CE"/>
    <w:rsid w:val="007A64C6"/>
    <w:rsid w:val="007B1E58"/>
    <w:rsid w:val="007B32D0"/>
    <w:rsid w:val="007B4CA0"/>
    <w:rsid w:val="007B510E"/>
    <w:rsid w:val="007B6423"/>
    <w:rsid w:val="007C4572"/>
    <w:rsid w:val="007C54B8"/>
    <w:rsid w:val="007E104C"/>
    <w:rsid w:val="007E3753"/>
    <w:rsid w:val="007F64AD"/>
    <w:rsid w:val="007F704C"/>
    <w:rsid w:val="00801FF5"/>
    <w:rsid w:val="00803B7F"/>
    <w:rsid w:val="00804AE7"/>
    <w:rsid w:val="008053A2"/>
    <w:rsid w:val="00805F36"/>
    <w:rsid w:val="00806619"/>
    <w:rsid w:val="00810152"/>
    <w:rsid w:val="00822837"/>
    <w:rsid w:val="008273FD"/>
    <w:rsid w:val="0084600D"/>
    <w:rsid w:val="008476E2"/>
    <w:rsid w:val="00854A2E"/>
    <w:rsid w:val="0085567A"/>
    <w:rsid w:val="008724DA"/>
    <w:rsid w:val="008821D3"/>
    <w:rsid w:val="0088359B"/>
    <w:rsid w:val="0088793D"/>
    <w:rsid w:val="008A2213"/>
    <w:rsid w:val="008A3A62"/>
    <w:rsid w:val="008A5E65"/>
    <w:rsid w:val="008A661B"/>
    <w:rsid w:val="008B015F"/>
    <w:rsid w:val="008B4E37"/>
    <w:rsid w:val="008C254C"/>
    <w:rsid w:val="008C2DD0"/>
    <w:rsid w:val="008C35AD"/>
    <w:rsid w:val="008C53B7"/>
    <w:rsid w:val="008D2625"/>
    <w:rsid w:val="008D301D"/>
    <w:rsid w:val="008E1F45"/>
    <w:rsid w:val="008E2237"/>
    <w:rsid w:val="008F7114"/>
    <w:rsid w:val="008F7638"/>
    <w:rsid w:val="009367C0"/>
    <w:rsid w:val="00936BF3"/>
    <w:rsid w:val="00942688"/>
    <w:rsid w:val="0094492B"/>
    <w:rsid w:val="009516EE"/>
    <w:rsid w:val="00952AA2"/>
    <w:rsid w:val="009549D2"/>
    <w:rsid w:val="00962C43"/>
    <w:rsid w:val="00970AED"/>
    <w:rsid w:val="0097685B"/>
    <w:rsid w:val="009821D5"/>
    <w:rsid w:val="00985ADF"/>
    <w:rsid w:val="00987328"/>
    <w:rsid w:val="00992300"/>
    <w:rsid w:val="00996522"/>
    <w:rsid w:val="00996971"/>
    <w:rsid w:val="009A2699"/>
    <w:rsid w:val="009A2FAE"/>
    <w:rsid w:val="009A4C17"/>
    <w:rsid w:val="009B01A7"/>
    <w:rsid w:val="009B040A"/>
    <w:rsid w:val="009B4E00"/>
    <w:rsid w:val="009B6FDA"/>
    <w:rsid w:val="009B7C75"/>
    <w:rsid w:val="009C142C"/>
    <w:rsid w:val="009C6E92"/>
    <w:rsid w:val="009C7FC0"/>
    <w:rsid w:val="009D0599"/>
    <w:rsid w:val="009D15EB"/>
    <w:rsid w:val="009D2234"/>
    <w:rsid w:val="009D5CDF"/>
    <w:rsid w:val="009D67A7"/>
    <w:rsid w:val="009E0C3E"/>
    <w:rsid w:val="009F11CF"/>
    <w:rsid w:val="009F49F7"/>
    <w:rsid w:val="009F57BE"/>
    <w:rsid w:val="009F5B34"/>
    <w:rsid w:val="009F7F65"/>
    <w:rsid w:val="00A014EF"/>
    <w:rsid w:val="00A06244"/>
    <w:rsid w:val="00A06E99"/>
    <w:rsid w:val="00A071C6"/>
    <w:rsid w:val="00A13A1E"/>
    <w:rsid w:val="00A2145C"/>
    <w:rsid w:val="00A23B48"/>
    <w:rsid w:val="00A25ACF"/>
    <w:rsid w:val="00A34354"/>
    <w:rsid w:val="00A3771B"/>
    <w:rsid w:val="00A42051"/>
    <w:rsid w:val="00A42BAC"/>
    <w:rsid w:val="00A43971"/>
    <w:rsid w:val="00A463C3"/>
    <w:rsid w:val="00A47554"/>
    <w:rsid w:val="00A51205"/>
    <w:rsid w:val="00A52038"/>
    <w:rsid w:val="00A56861"/>
    <w:rsid w:val="00A67279"/>
    <w:rsid w:val="00A677BC"/>
    <w:rsid w:val="00A67B6B"/>
    <w:rsid w:val="00A704B2"/>
    <w:rsid w:val="00A82AAA"/>
    <w:rsid w:val="00A869D2"/>
    <w:rsid w:val="00AA139F"/>
    <w:rsid w:val="00AA2C4E"/>
    <w:rsid w:val="00AA43F7"/>
    <w:rsid w:val="00AB0C36"/>
    <w:rsid w:val="00AB587F"/>
    <w:rsid w:val="00AB5D61"/>
    <w:rsid w:val="00AC189A"/>
    <w:rsid w:val="00AC66A0"/>
    <w:rsid w:val="00AC7138"/>
    <w:rsid w:val="00AD051D"/>
    <w:rsid w:val="00AE1F07"/>
    <w:rsid w:val="00AE2B8E"/>
    <w:rsid w:val="00AE30AC"/>
    <w:rsid w:val="00AE4A0D"/>
    <w:rsid w:val="00AF41BA"/>
    <w:rsid w:val="00AF7E4F"/>
    <w:rsid w:val="00B01282"/>
    <w:rsid w:val="00B10FC3"/>
    <w:rsid w:val="00B20DF2"/>
    <w:rsid w:val="00B211B7"/>
    <w:rsid w:val="00B2587B"/>
    <w:rsid w:val="00B27709"/>
    <w:rsid w:val="00B31024"/>
    <w:rsid w:val="00B3111B"/>
    <w:rsid w:val="00B3745E"/>
    <w:rsid w:val="00B375B6"/>
    <w:rsid w:val="00B41561"/>
    <w:rsid w:val="00B42F1B"/>
    <w:rsid w:val="00B53A52"/>
    <w:rsid w:val="00B56CF8"/>
    <w:rsid w:val="00B67F5A"/>
    <w:rsid w:val="00B70156"/>
    <w:rsid w:val="00B7360E"/>
    <w:rsid w:val="00B73CC5"/>
    <w:rsid w:val="00B83AB1"/>
    <w:rsid w:val="00B85634"/>
    <w:rsid w:val="00B85CF8"/>
    <w:rsid w:val="00B96DF3"/>
    <w:rsid w:val="00BB228E"/>
    <w:rsid w:val="00BB6639"/>
    <w:rsid w:val="00BC7FC1"/>
    <w:rsid w:val="00BD2AFF"/>
    <w:rsid w:val="00BD31B6"/>
    <w:rsid w:val="00BD7DD0"/>
    <w:rsid w:val="00BF6DF6"/>
    <w:rsid w:val="00BF776B"/>
    <w:rsid w:val="00C017E1"/>
    <w:rsid w:val="00C039F1"/>
    <w:rsid w:val="00C1139A"/>
    <w:rsid w:val="00C1277A"/>
    <w:rsid w:val="00C15887"/>
    <w:rsid w:val="00C16DA5"/>
    <w:rsid w:val="00C20374"/>
    <w:rsid w:val="00C2193D"/>
    <w:rsid w:val="00C34F1E"/>
    <w:rsid w:val="00C35C75"/>
    <w:rsid w:val="00C36885"/>
    <w:rsid w:val="00C40E50"/>
    <w:rsid w:val="00C460A6"/>
    <w:rsid w:val="00C53DD6"/>
    <w:rsid w:val="00C55D7B"/>
    <w:rsid w:val="00C6516B"/>
    <w:rsid w:val="00C658B2"/>
    <w:rsid w:val="00C71482"/>
    <w:rsid w:val="00C7755D"/>
    <w:rsid w:val="00C77D11"/>
    <w:rsid w:val="00C80012"/>
    <w:rsid w:val="00C8018B"/>
    <w:rsid w:val="00C842C7"/>
    <w:rsid w:val="00C86796"/>
    <w:rsid w:val="00C93BBB"/>
    <w:rsid w:val="00C95F53"/>
    <w:rsid w:val="00CA431E"/>
    <w:rsid w:val="00CA56B6"/>
    <w:rsid w:val="00CA6046"/>
    <w:rsid w:val="00CB19A9"/>
    <w:rsid w:val="00CB57E2"/>
    <w:rsid w:val="00CC2337"/>
    <w:rsid w:val="00CC2B6D"/>
    <w:rsid w:val="00CD26E9"/>
    <w:rsid w:val="00CD363D"/>
    <w:rsid w:val="00CD4132"/>
    <w:rsid w:val="00CE3CFC"/>
    <w:rsid w:val="00CE638F"/>
    <w:rsid w:val="00CE71DE"/>
    <w:rsid w:val="00D00125"/>
    <w:rsid w:val="00D03184"/>
    <w:rsid w:val="00D03952"/>
    <w:rsid w:val="00D07C8E"/>
    <w:rsid w:val="00D10FE6"/>
    <w:rsid w:val="00D14F98"/>
    <w:rsid w:val="00D158DF"/>
    <w:rsid w:val="00D16838"/>
    <w:rsid w:val="00D177D7"/>
    <w:rsid w:val="00D26D57"/>
    <w:rsid w:val="00D30B9F"/>
    <w:rsid w:val="00D36163"/>
    <w:rsid w:val="00D37253"/>
    <w:rsid w:val="00D376DB"/>
    <w:rsid w:val="00D44F92"/>
    <w:rsid w:val="00D52473"/>
    <w:rsid w:val="00D53A86"/>
    <w:rsid w:val="00D55830"/>
    <w:rsid w:val="00D57463"/>
    <w:rsid w:val="00D57C62"/>
    <w:rsid w:val="00D618ED"/>
    <w:rsid w:val="00D67024"/>
    <w:rsid w:val="00D70AC5"/>
    <w:rsid w:val="00D80758"/>
    <w:rsid w:val="00D80EA2"/>
    <w:rsid w:val="00D83164"/>
    <w:rsid w:val="00D835A1"/>
    <w:rsid w:val="00D8537E"/>
    <w:rsid w:val="00D90825"/>
    <w:rsid w:val="00DA0A89"/>
    <w:rsid w:val="00DA6DF8"/>
    <w:rsid w:val="00DB0848"/>
    <w:rsid w:val="00DB3C13"/>
    <w:rsid w:val="00DC268F"/>
    <w:rsid w:val="00DC3CA3"/>
    <w:rsid w:val="00DC3D52"/>
    <w:rsid w:val="00DC6056"/>
    <w:rsid w:val="00DC6952"/>
    <w:rsid w:val="00DE0F62"/>
    <w:rsid w:val="00DE244A"/>
    <w:rsid w:val="00DF122E"/>
    <w:rsid w:val="00DF29DD"/>
    <w:rsid w:val="00E0361C"/>
    <w:rsid w:val="00E07390"/>
    <w:rsid w:val="00E108D7"/>
    <w:rsid w:val="00E16C2C"/>
    <w:rsid w:val="00E245C9"/>
    <w:rsid w:val="00E30C70"/>
    <w:rsid w:val="00E314B8"/>
    <w:rsid w:val="00E40310"/>
    <w:rsid w:val="00E41E0C"/>
    <w:rsid w:val="00E4233A"/>
    <w:rsid w:val="00E462F9"/>
    <w:rsid w:val="00E56A86"/>
    <w:rsid w:val="00E76CD1"/>
    <w:rsid w:val="00E77E91"/>
    <w:rsid w:val="00E8262E"/>
    <w:rsid w:val="00E9187A"/>
    <w:rsid w:val="00E91D66"/>
    <w:rsid w:val="00E92DAC"/>
    <w:rsid w:val="00E93696"/>
    <w:rsid w:val="00E96134"/>
    <w:rsid w:val="00EA1078"/>
    <w:rsid w:val="00EA6213"/>
    <w:rsid w:val="00EA7143"/>
    <w:rsid w:val="00EC064C"/>
    <w:rsid w:val="00EC0A2F"/>
    <w:rsid w:val="00EC12B7"/>
    <w:rsid w:val="00EC1D93"/>
    <w:rsid w:val="00EC4460"/>
    <w:rsid w:val="00EC6423"/>
    <w:rsid w:val="00ED163A"/>
    <w:rsid w:val="00EE1914"/>
    <w:rsid w:val="00EE5DDA"/>
    <w:rsid w:val="00EE626F"/>
    <w:rsid w:val="00EE638F"/>
    <w:rsid w:val="00EF0DDA"/>
    <w:rsid w:val="00EF3BE7"/>
    <w:rsid w:val="00EF4C44"/>
    <w:rsid w:val="00F04FEA"/>
    <w:rsid w:val="00F202BB"/>
    <w:rsid w:val="00F21562"/>
    <w:rsid w:val="00F2501E"/>
    <w:rsid w:val="00F354CE"/>
    <w:rsid w:val="00F377C6"/>
    <w:rsid w:val="00F37EA8"/>
    <w:rsid w:val="00F4028A"/>
    <w:rsid w:val="00F443B3"/>
    <w:rsid w:val="00F45772"/>
    <w:rsid w:val="00F477B6"/>
    <w:rsid w:val="00F5316A"/>
    <w:rsid w:val="00F60815"/>
    <w:rsid w:val="00F809A7"/>
    <w:rsid w:val="00F93E2D"/>
    <w:rsid w:val="00F95FE4"/>
    <w:rsid w:val="00F97425"/>
    <w:rsid w:val="00FA0A97"/>
    <w:rsid w:val="00FA4909"/>
    <w:rsid w:val="00FA5EA0"/>
    <w:rsid w:val="00FA6FF5"/>
    <w:rsid w:val="00FB4796"/>
    <w:rsid w:val="00FC3D8C"/>
    <w:rsid w:val="00FC6F18"/>
    <w:rsid w:val="00FD7B37"/>
    <w:rsid w:val="00FE3BE9"/>
    <w:rsid w:val="00FE417E"/>
    <w:rsid w:val="00FF357E"/>
    <w:rsid w:val="011C682F"/>
    <w:rsid w:val="02290C40"/>
    <w:rsid w:val="02BD4F36"/>
    <w:rsid w:val="02EA486F"/>
    <w:rsid w:val="031A4C4D"/>
    <w:rsid w:val="03A33BDB"/>
    <w:rsid w:val="03A75A0D"/>
    <w:rsid w:val="0501554E"/>
    <w:rsid w:val="05B613BA"/>
    <w:rsid w:val="05DE6E6B"/>
    <w:rsid w:val="0736411F"/>
    <w:rsid w:val="08123F24"/>
    <w:rsid w:val="089F59D8"/>
    <w:rsid w:val="092E7E5D"/>
    <w:rsid w:val="0A8F0921"/>
    <w:rsid w:val="0B254A7F"/>
    <w:rsid w:val="0C7C550B"/>
    <w:rsid w:val="0D1B3D08"/>
    <w:rsid w:val="0D1B6ACE"/>
    <w:rsid w:val="0D1F2E29"/>
    <w:rsid w:val="0E6C5CE4"/>
    <w:rsid w:val="0F4470B9"/>
    <w:rsid w:val="0F7E5AC7"/>
    <w:rsid w:val="10141634"/>
    <w:rsid w:val="105A290D"/>
    <w:rsid w:val="10E102DB"/>
    <w:rsid w:val="10F730EB"/>
    <w:rsid w:val="11423560"/>
    <w:rsid w:val="11E22B0C"/>
    <w:rsid w:val="123A1057"/>
    <w:rsid w:val="127A7296"/>
    <w:rsid w:val="12A33801"/>
    <w:rsid w:val="1444343B"/>
    <w:rsid w:val="146F33BB"/>
    <w:rsid w:val="150452C6"/>
    <w:rsid w:val="15175270"/>
    <w:rsid w:val="18317183"/>
    <w:rsid w:val="18AB34CA"/>
    <w:rsid w:val="19664E0E"/>
    <w:rsid w:val="19A5070F"/>
    <w:rsid w:val="1A7D3DC7"/>
    <w:rsid w:val="1AFA0904"/>
    <w:rsid w:val="1B1A5EBB"/>
    <w:rsid w:val="1B530684"/>
    <w:rsid w:val="1B8A0A55"/>
    <w:rsid w:val="1C2205F0"/>
    <w:rsid w:val="1C2E66A0"/>
    <w:rsid w:val="1C3E1334"/>
    <w:rsid w:val="1C4E77C9"/>
    <w:rsid w:val="1CD502AB"/>
    <w:rsid w:val="1CF324F6"/>
    <w:rsid w:val="1DE02CA3"/>
    <w:rsid w:val="1F0045E5"/>
    <w:rsid w:val="20097D08"/>
    <w:rsid w:val="20CA3197"/>
    <w:rsid w:val="20D10D84"/>
    <w:rsid w:val="21676C37"/>
    <w:rsid w:val="2382123E"/>
    <w:rsid w:val="23AB3753"/>
    <w:rsid w:val="23BB77E8"/>
    <w:rsid w:val="2405724D"/>
    <w:rsid w:val="2483298E"/>
    <w:rsid w:val="24DB3943"/>
    <w:rsid w:val="24DC0A73"/>
    <w:rsid w:val="257162D7"/>
    <w:rsid w:val="25A42208"/>
    <w:rsid w:val="25C32FD6"/>
    <w:rsid w:val="27811DEF"/>
    <w:rsid w:val="27C546B8"/>
    <w:rsid w:val="27D41A2A"/>
    <w:rsid w:val="27FD4330"/>
    <w:rsid w:val="280408C2"/>
    <w:rsid w:val="28111BFB"/>
    <w:rsid w:val="28EF10E3"/>
    <w:rsid w:val="298630C0"/>
    <w:rsid w:val="29985923"/>
    <w:rsid w:val="2A655E8F"/>
    <w:rsid w:val="2B5129A7"/>
    <w:rsid w:val="2BA271EA"/>
    <w:rsid w:val="2CAD167A"/>
    <w:rsid w:val="2CC22769"/>
    <w:rsid w:val="2D24747D"/>
    <w:rsid w:val="2D5A6794"/>
    <w:rsid w:val="2E8B2A47"/>
    <w:rsid w:val="2EDF3A41"/>
    <w:rsid w:val="2F1C3757"/>
    <w:rsid w:val="2F25085E"/>
    <w:rsid w:val="2F7610B9"/>
    <w:rsid w:val="2FC802C9"/>
    <w:rsid w:val="30515682"/>
    <w:rsid w:val="30C71FFD"/>
    <w:rsid w:val="31010CD8"/>
    <w:rsid w:val="312069F6"/>
    <w:rsid w:val="317C153A"/>
    <w:rsid w:val="31BB7645"/>
    <w:rsid w:val="31E6403F"/>
    <w:rsid w:val="32863F86"/>
    <w:rsid w:val="3323752C"/>
    <w:rsid w:val="334F40FB"/>
    <w:rsid w:val="336927FC"/>
    <w:rsid w:val="33D36FA2"/>
    <w:rsid w:val="3567744A"/>
    <w:rsid w:val="35EB306D"/>
    <w:rsid w:val="38F77CE6"/>
    <w:rsid w:val="397747EC"/>
    <w:rsid w:val="3B5B6BA7"/>
    <w:rsid w:val="3BE70C49"/>
    <w:rsid w:val="3D3E26D9"/>
    <w:rsid w:val="3D411883"/>
    <w:rsid w:val="3DBE6337"/>
    <w:rsid w:val="3EAB4DDF"/>
    <w:rsid w:val="3EFF3808"/>
    <w:rsid w:val="40EE65D6"/>
    <w:rsid w:val="41241AAD"/>
    <w:rsid w:val="421C087A"/>
    <w:rsid w:val="423948A5"/>
    <w:rsid w:val="42643940"/>
    <w:rsid w:val="427F0774"/>
    <w:rsid w:val="42D33069"/>
    <w:rsid w:val="44C05F92"/>
    <w:rsid w:val="44C4775D"/>
    <w:rsid w:val="4607616F"/>
    <w:rsid w:val="464E08CE"/>
    <w:rsid w:val="484713ED"/>
    <w:rsid w:val="48B97CF3"/>
    <w:rsid w:val="48C95146"/>
    <w:rsid w:val="48EB5899"/>
    <w:rsid w:val="49A06BBA"/>
    <w:rsid w:val="4A7A5B4D"/>
    <w:rsid w:val="4AD4075E"/>
    <w:rsid w:val="4B520226"/>
    <w:rsid w:val="4B8F2372"/>
    <w:rsid w:val="4BD83BC5"/>
    <w:rsid w:val="4BED0A01"/>
    <w:rsid w:val="4CB67393"/>
    <w:rsid w:val="4D843796"/>
    <w:rsid w:val="4DB96E83"/>
    <w:rsid w:val="4DD3727F"/>
    <w:rsid w:val="4DDA7A14"/>
    <w:rsid w:val="4E1D2A1D"/>
    <w:rsid w:val="4E796078"/>
    <w:rsid w:val="4F215E5C"/>
    <w:rsid w:val="510F6820"/>
    <w:rsid w:val="526F6364"/>
    <w:rsid w:val="52AE6067"/>
    <w:rsid w:val="52D63A99"/>
    <w:rsid w:val="52DB4C0C"/>
    <w:rsid w:val="53743C02"/>
    <w:rsid w:val="54977258"/>
    <w:rsid w:val="559F686B"/>
    <w:rsid w:val="56C64021"/>
    <w:rsid w:val="573A14EC"/>
    <w:rsid w:val="574D00A2"/>
    <w:rsid w:val="576E72C3"/>
    <w:rsid w:val="589D399C"/>
    <w:rsid w:val="5991465F"/>
    <w:rsid w:val="59D6612D"/>
    <w:rsid w:val="5A7836E3"/>
    <w:rsid w:val="5B157129"/>
    <w:rsid w:val="5D0555C8"/>
    <w:rsid w:val="5D577DB5"/>
    <w:rsid w:val="5DE80B25"/>
    <w:rsid w:val="5E8F2044"/>
    <w:rsid w:val="5EF26392"/>
    <w:rsid w:val="6095357C"/>
    <w:rsid w:val="61734BA9"/>
    <w:rsid w:val="61E3130B"/>
    <w:rsid w:val="61FE41C5"/>
    <w:rsid w:val="6217019D"/>
    <w:rsid w:val="622C0575"/>
    <w:rsid w:val="623233E2"/>
    <w:rsid w:val="62555DDD"/>
    <w:rsid w:val="62AC1589"/>
    <w:rsid w:val="640A3025"/>
    <w:rsid w:val="64E42046"/>
    <w:rsid w:val="65845EA9"/>
    <w:rsid w:val="65FA7DD1"/>
    <w:rsid w:val="660808AC"/>
    <w:rsid w:val="66666FD0"/>
    <w:rsid w:val="672654B9"/>
    <w:rsid w:val="674D26EA"/>
    <w:rsid w:val="67961B02"/>
    <w:rsid w:val="679C4F8C"/>
    <w:rsid w:val="67A32250"/>
    <w:rsid w:val="68FD2751"/>
    <w:rsid w:val="693B23E1"/>
    <w:rsid w:val="696D476E"/>
    <w:rsid w:val="698D37AE"/>
    <w:rsid w:val="6A142E3B"/>
    <w:rsid w:val="6A3721A2"/>
    <w:rsid w:val="6A497893"/>
    <w:rsid w:val="6A810B34"/>
    <w:rsid w:val="6AD44053"/>
    <w:rsid w:val="6B16490B"/>
    <w:rsid w:val="6BF33277"/>
    <w:rsid w:val="6C215337"/>
    <w:rsid w:val="6D884C8B"/>
    <w:rsid w:val="6F180807"/>
    <w:rsid w:val="6F3B101A"/>
    <w:rsid w:val="6FE24E2E"/>
    <w:rsid w:val="70005EA5"/>
    <w:rsid w:val="709F5073"/>
    <w:rsid w:val="710E3112"/>
    <w:rsid w:val="71353C29"/>
    <w:rsid w:val="714D5692"/>
    <w:rsid w:val="71924D30"/>
    <w:rsid w:val="72181581"/>
    <w:rsid w:val="7229553C"/>
    <w:rsid w:val="724D0BD4"/>
    <w:rsid w:val="725B146D"/>
    <w:rsid w:val="726011D8"/>
    <w:rsid w:val="72AF5315"/>
    <w:rsid w:val="72CE60E3"/>
    <w:rsid w:val="73E7455D"/>
    <w:rsid w:val="749B64D7"/>
    <w:rsid w:val="74B51309"/>
    <w:rsid w:val="75DA233C"/>
    <w:rsid w:val="775A7212"/>
    <w:rsid w:val="777C7EBC"/>
    <w:rsid w:val="77814D32"/>
    <w:rsid w:val="78185C40"/>
    <w:rsid w:val="78287B58"/>
    <w:rsid w:val="78760CA1"/>
    <w:rsid w:val="79145CD1"/>
    <w:rsid w:val="7A436160"/>
    <w:rsid w:val="7A9026CE"/>
    <w:rsid w:val="7B071AD2"/>
    <w:rsid w:val="7B783004"/>
    <w:rsid w:val="7BB73621"/>
    <w:rsid w:val="7C063C4A"/>
    <w:rsid w:val="7C093CE8"/>
    <w:rsid w:val="7C2C1355"/>
    <w:rsid w:val="7C5675A3"/>
    <w:rsid w:val="7C654DB1"/>
    <w:rsid w:val="7D672B53"/>
    <w:rsid w:val="7D755889"/>
    <w:rsid w:val="7D7C6F14"/>
    <w:rsid w:val="7DD47F63"/>
    <w:rsid w:val="7DDB6918"/>
    <w:rsid w:val="7EB426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link w:val="44"/>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5"/>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31">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szCs w:val="22"/>
    </w:rPr>
  </w:style>
  <w:style w:type="paragraph" w:styleId="7">
    <w:name w:val="Normal Indent"/>
    <w:basedOn w:val="1"/>
    <w:link w:val="46"/>
    <w:qFormat/>
    <w:uiPriority w:val="0"/>
    <w:pPr>
      <w:ind w:firstLine="420" w:firstLineChars="200"/>
    </w:pPr>
    <w:rPr>
      <w:kern w:val="0"/>
      <w:sz w:val="20"/>
    </w:rPr>
  </w:style>
  <w:style w:type="paragraph" w:styleId="8">
    <w:name w:val="Document Map"/>
    <w:basedOn w:val="1"/>
    <w:link w:val="47"/>
    <w:qFormat/>
    <w:uiPriority w:val="0"/>
    <w:rPr>
      <w:rFonts w:ascii="宋体"/>
      <w:kern w:val="0"/>
      <w:sz w:val="18"/>
      <w:szCs w:val="18"/>
    </w:rPr>
  </w:style>
  <w:style w:type="paragraph" w:styleId="9">
    <w:name w:val="annotation text"/>
    <w:basedOn w:val="1"/>
    <w:link w:val="48"/>
    <w:qFormat/>
    <w:uiPriority w:val="0"/>
    <w:pPr>
      <w:jc w:val="left"/>
    </w:pPr>
    <w:rPr>
      <w:kern w:val="0"/>
      <w:sz w:val="18"/>
      <w:szCs w:val="20"/>
    </w:rPr>
  </w:style>
  <w:style w:type="paragraph" w:styleId="10">
    <w:name w:val="Body Text"/>
    <w:basedOn w:val="1"/>
    <w:link w:val="42"/>
    <w:qFormat/>
    <w:uiPriority w:val="0"/>
    <w:pPr>
      <w:spacing w:after="120"/>
    </w:pPr>
    <w:rPr>
      <w:kern w:val="0"/>
      <w:sz w:val="20"/>
    </w:rPr>
  </w:style>
  <w:style w:type="paragraph" w:styleId="11">
    <w:name w:val="Body Text Indent"/>
    <w:basedOn w:val="1"/>
    <w:link w:val="49"/>
    <w:qFormat/>
    <w:uiPriority w:val="0"/>
    <w:pPr>
      <w:ind w:firstLine="630"/>
    </w:pPr>
    <w:rPr>
      <w:kern w:val="0"/>
      <w:sz w:val="32"/>
      <w:szCs w:val="20"/>
    </w:rPr>
  </w:style>
  <w:style w:type="paragraph" w:styleId="12">
    <w:name w:val="toc 5"/>
    <w:basedOn w:val="1"/>
    <w:next w:val="1"/>
    <w:unhideWhenUsed/>
    <w:qFormat/>
    <w:uiPriority w:val="39"/>
    <w:pPr>
      <w:ind w:left="1680" w:leftChars="800"/>
    </w:pPr>
    <w:rPr>
      <w:rFonts w:ascii="Calibri" w:hAnsi="Calibri"/>
      <w:szCs w:val="22"/>
    </w:rPr>
  </w:style>
  <w:style w:type="paragraph" w:styleId="13">
    <w:name w:val="toc 3"/>
    <w:basedOn w:val="1"/>
    <w:next w:val="1"/>
    <w:qFormat/>
    <w:uiPriority w:val="39"/>
    <w:pPr>
      <w:ind w:left="840" w:leftChars="400"/>
    </w:pPr>
  </w:style>
  <w:style w:type="paragraph" w:styleId="14">
    <w:name w:val="Plain Text"/>
    <w:basedOn w:val="1"/>
    <w:link w:val="50"/>
    <w:qFormat/>
    <w:uiPriority w:val="0"/>
    <w:pPr>
      <w:autoSpaceDE w:val="0"/>
      <w:autoSpaceDN w:val="0"/>
      <w:adjustRightInd w:val="0"/>
    </w:pPr>
    <w:rPr>
      <w:rFonts w:ascii="宋体" w:hAnsi="Tms Rmn"/>
      <w:kern w:val="0"/>
      <w:sz w:val="20"/>
      <w:szCs w:val="20"/>
    </w:rPr>
  </w:style>
  <w:style w:type="paragraph" w:styleId="15">
    <w:name w:val="toc 8"/>
    <w:basedOn w:val="1"/>
    <w:next w:val="1"/>
    <w:unhideWhenUsed/>
    <w:qFormat/>
    <w:uiPriority w:val="39"/>
    <w:pPr>
      <w:ind w:left="2940" w:leftChars="1400"/>
    </w:pPr>
    <w:rPr>
      <w:rFonts w:ascii="Calibri" w:hAnsi="Calibri"/>
      <w:szCs w:val="22"/>
    </w:rPr>
  </w:style>
  <w:style w:type="paragraph" w:styleId="16">
    <w:name w:val="Date"/>
    <w:basedOn w:val="1"/>
    <w:next w:val="1"/>
    <w:link w:val="51"/>
    <w:qFormat/>
    <w:uiPriority w:val="0"/>
    <w:pPr>
      <w:ind w:left="100" w:leftChars="2500"/>
    </w:pPr>
    <w:rPr>
      <w:kern w:val="0"/>
      <w:sz w:val="24"/>
    </w:rPr>
  </w:style>
  <w:style w:type="paragraph" w:styleId="17">
    <w:name w:val="Body Text Indent 2"/>
    <w:basedOn w:val="1"/>
    <w:link w:val="52"/>
    <w:qFormat/>
    <w:uiPriority w:val="0"/>
    <w:pPr>
      <w:spacing w:after="120" w:line="480" w:lineRule="auto"/>
      <w:ind w:left="420" w:leftChars="200"/>
    </w:pPr>
    <w:rPr>
      <w:kern w:val="0"/>
      <w:sz w:val="20"/>
    </w:rPr>
  </w:style>
  <w:style w:type="paragraph" w:styleId="18">
    <w:name w:val="Balloon Text"/>
    <w:basedOn w:val="1"/>
    <w:link w:val="53"/>
    <w:semiHidden/>
    <w:qFormat/>
    <w:uiPriority w:val="0"/>
    <w:rPr>
      <w:kern w:val="0"/>
      <w:sz w:val="18"/>
      <w:szCs w:val="18"/>
    </w:rPr>
  </w:style>
  <w:style w:type="paragraph" w:styleId="19">
    <w:name w:val="footer"/>
    <w:basedOn w:val="1"/>
    <w:link w:val="54"/>
    <w:qFormat/>
    <w:uiPriority w:val="99"/>
    <w:pPr>
      <w:tabs>
        <w:tab w:val="center" w:pos="4153"/>
        <w:tab w:val="right" w:pos="8306"/>
      </w:tabs>
      <w:snapToGrid w:val="0"/>
      <w:jc w:val="left"/>
    </w:pPr>
    <w:rPr>
      <w:kern w:val="0"/>
      <w:sz w:val="18"/>
      <w:szCs w:val="20"/>
    </w:rPr>
  </w:style>
  <w:style w:type="paragraph" w:styleId="20">
    <w:name w:val="header"/>
    <w:basedOn w:val="1"/>
    <w:link w:val="55"/>
    <w:qFormat/>
    <w:uiPriority w:val="99"/>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qFormat/>
    <w:uiPriority w:val="39"/>
  </w:style>
  <w:style w:type="paragraph" w:styleId="22">
    <w:name w:val="toc 4"/>
    <w:basedOn w:val="1"/>
    <w:next w:val="1"/>
    <w:unhideWhenUsed/>
    <w:qFormat/>
    <w:uiPriority w:val="39"/>
    <w:pPr>
      <w:ind w:left="1260" w:leftChars="600"/>
    </w:pPr>
    <w:rPr>
      <w:rFonts w:ascii="Calibri" w:hAnsi="Calibri"/>
      <w:szCs w:val="22"/>
    </w:rPr>
  </w:style>
  <w:style w:type="paragraph" w:styleId="23">
    <w:name w:val="toc 6"/>
    <w:basedOn w:val="1"/>
    <w:next w:val="1"/>
    <w:unhideWhenUsed/>
    <w:qFormat/>
    <w:uiPriority w:val="39"/>
    <w:pPr>
      <w:ind w:left="2100" w:leftChars="1000"/>
    </w:pPr>
    <w:rPr>
      <w:rFonts w:ascii="Calibri" w:hAnsi="Calibri"/>
      <w:szCs w:val="22"/>
    </w:rPr>
  </w:style>
  <w:style w:type="paragraph" w:styleId="24">
    <w:name w:val="Body Text Indent 3"/>
    <w:basedOn w:val="1"/>
    <w:link w:val="56"/>
    <w:qFormat/>
    <w:uiPriority w:val="0"/>
    <w:pPr>
      <w:spacing w:after="120"/>
      <w:ind w:left="420" w:leftChars="200"/>
    </w:pPr>
    <w:rPr>
      <w:kern w:val="0"/>
      <w:sz w:val="16"/>
      <w:szCs w:val="16"/>
    </w:rPr>
  </w:style>
  <w:style w:type="paragraph" w:styleId="25">
    <w:name w:val="toc 2"/>
    <w:basedOn w:val="1"/>
    <w:next w:val="1"/>
    <w:qFormat/>
    <w:uiPriority w:val="39"/>
    <w:pPr>
      <w:ind w:left="420" w:leftChars="200"/>
    </w:pPr>
  </w:style>
  <w:style w:type="paragraph" w:styleId="26">
    <w:name w:val="toc 9"/>
    <w:basedOn w:val="1"/>
    <w:next w:val="1"/>
    <w:unhideWhenUsed/>
    <w:qFormat/>
    <w:uiPriority w:val="39"/>
    <w:pPr>
      <w:ind w:left="3360" w:leftChars="1600"/>
    </w:pPr>
    <w:rPr>
      <w:rFonts w:ascii="Calibri" w:hAnsi="Calibri"/>
      <w:szCs w:val="22"/>
    </w:rPr>
  </w:style>
  <w:style w:type="paragraph" w:styleId="27">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8">
    <w:name w:val="annotation subject"/>
    <w:basedOn w:val="9"/>
    <w:next w:val="9"/>
    <w:link w:val="57"/>
    <w:qFormat/>
    <w:uiPriority w:val="0"/>
    <w:rPr>
      <w:b/>
      <w:bCs/>
      <w:sz w:val="20"/>
      <w:szCs w:val="24"/>
    </w:rPr>
  </w:style>
  <w:style w:type="paragraph" w:styleId="29">
    <w:name w:val="Body Text First Indent"/>
    <w:basedOn w:val="10"/>
    <w:qFormat/>
    <w:uiPriority w:val="0"/>
    <w:pPr>
      <w:ind w:firstLine="420" w:firstLineChars="100"/>
    </w:pPr>
    <w:rPr>
      <w:rFonts w:cs="Calibri"/>
      <w:color w:val="000000"/>
      <w:kern w:val="1"/>
      <w:szCs w:val="22"/>
    </w:rPr>
  </w:style>
  <w:style w:type="character" w:styleId="32">
    <w:name w:val="Strong"/>
    <w:qFormat/>
    <w:uiPriority w:val="0"/>
    <w:rPr>
      <w:b/>
    </w:rPr>
  </w:style>
  <w:style w:type="character" w:styleId="33">
    <w:name w:val="page number"/>
    <w:qFormat/>
    <w:uiPriority w:val="0"/>
  </w:style>
  <w:style w:type="character" w:styleId="34">
    <w:name w:val="FollowedHyperlink"/>
    <w:qFormat/>
    <w:uiPriority w:val="0"/>
    <w:rPr>
      <w:color w:val="333333"/>
      <w:u w:val="none"/>
    </w:rPr>
  </w:style>
  <w:style w:type="character" w:styleId="35">
    <w:name w:val="Emphasis"/>
    <w:qFormat/>
    <w:uiPriority w:val="0"/>
  </w:style>
  <w:style w:type="character" w:styleId="36">
    <w:name w:val="HTML Definition"/>
    <w:qFormat/>
    <w:uiPriority w:val="0"/>
  </w:style>
  <w:style w:type="character" w:styleId="37">
    <w:name w:val="HTML Variable"/>
    <w:qFormat/>
    <w:uiPriority w:val="0"/>
  </w:style>
  <w:style w:type="character" w:styleId="38">
    <w:name w:val="Hyperlink"/>
    <w:qFormat/>
    <w:uiPriority w:val="99"/>
    <w:rPr>
      <w:color w:val="333333"/>
      <w:u w:val="none"/>
    </w:rPr>
  </w:style>
  <w:style w:type="character" w:styleId="39">
    <w:name w:val="HTML Code"/>
    <w:qFormat/>
    <w:uiPriority w:val="0"/>
    <w:rPr>
      <w:rFonts w:ascii="Courier New" w:hAnsi="Courier New"/>
      <w:sz w:val="20"/>
    </w:rPr>
  </w:style>
  <w:style w:type="character" w:styleId="40">
    <w:name w:val="annotation reference"/>
    <w:qFormat/>
    <w:uiPriority w:val="0"/>
    <w:rPr>
      <w:sz w:val="21"/>
      <w:szCs w:val="21"/>
    </w:rPr>
  </w:style>
  <w:style w:type="character" w:styleId="41">
    <w:name w:val="HTML Cite"/>
    <w:qFormat/>
    <w:uiPriority w:val="0"/>
  </w:style>
  <w:style w:type="character" w:customStyle="1" w:styleId="42">
    <w:name w:val="正文文本 字符"/>
    <w:link w:val="10"/>
    <w:qFormat/>
    <w:uiPriority w:val="0"/>
  </w:style>
  <w:style w:type="character" w:customStyle="1" w:styleId="43">
    <w:name w:val="标题 1 字符"/>
    <w:link w:val="2"/>
    <w:qFormat/>
    <w:uiPriority w:val="0"/>
    <w:rPr>
      <w:b/>
      <w:bCs/>
      <w:kern w:val="44"/>
      <w:sz w:val="36"/>
      <w:szCs w:val="44"/>
    </w:rPr>
  </w:style>
  <w:style w:type="character" w:customStyle="1" w:styleId="44">
    <w:name w:val="标题 2 字符"/>
    <w:link w:val="3"/>
    <w:qFormat/>
    <w:uiPriority w:val="0"/>
    <w:rPr>
      <w:rFonts w:ascii="Arial" w:hAnsi="Arial" w:eastAsia="黑体" w:cs="Times New Roman"/>
      <w:b/>
      <w:bCs/>
      <w:sz w:val="32"/>
      <w:szCs w:val="32"/>
    </w:rPr>
  </w:style>
  <w:style w:type="character" w:customStyle="1" w:styleId="45">
    <w:name w:val="标题 3 字符"/>
    <w:link w:val="4"/>
    <w:qFormat/>
    <w:uiPriority w:val="0"/>
    <w:rPr>
      <w:rFonts w:ascii="Times New Roman" w:hAnsi="Times New Roman" w:eastAsia="宋体" w:cs="Times New Roman"/>
      <w:b/>
      <w:bCs/>
      <w:sz w:val="32"/>
      <w:szCs w:val="32"/>
    </w:rPr>
  </w:style>
  <w:style w:type="character" w:customStyle="1" w:styleId="46">
    <w:name w:val="正文缩进 字符"/>
    <w:link w:val="7"/>
    <w:qFormat/>
    <w:uiPriority w:val="0"/>
    <w:rPr>
      <w:rFonts w:eastAsia="宋体"/>
      <w:szCs w:val="24"/>
    </w:rPr>
  </w:style>
  <w:style w:type="character" w:customStyle="1" w:styleId="47">
    <w:name w:val="文档结构图 字符"/>
    <w:link w:val="8"/>
    <w:qFormat/>
    <w:uiPriority w:val="0"/>
    <w:rPr>
      <w:rFonts w:ascii="宋体"/>
      <w:sz w:val="18"/>
      <w:szCs w:val="18"/>
    </w:rPr>
  </w:style>
  <w:style w:type="character" w:customStyle="1" w:styleId="48">
    <w:name w:val="批注文字 字符"/>
    <w:link w:val="9"/>
    <w:qFormat/>
    <w:uiPriority w:val="0"/>
    <w:rPr>
      <w:sz w:val="18"/>
    </w:rPr>
  </w:style>
  <w:style w:type="character" w:customStyle="1" w:styleId="49">
    <w:name w:val="正文文本缩进 字符"/>
    <w:link w:val="11"/>
    <w:qFormat/>
    <w:uiPriority w:val="0"/>
    <w:rPr>
      <w:rFonts w:eastAsia="宋体"/>
      <w:sz w:val="32"/>
    </w:rPr>
  </w:style>
  <w:style w:type="character" w:customStyle="1" w:styleId="50">
    <w:name w:val="纯文本 字符"/>
    <w:link w:val="14"/>
    <w:unhideWhenUsed/>
    <w:qFormat/>
    <w:uiPriority w:val="0"/>
    <w:rPr>
      <w:rFonts w:ascii="宋体" w:hAnsi="Tms Rmn" w:eastAsia="宋体"/>
    </w:rPr>
  </w:style>
  <w:style w:type="character" w:customStyle="1" w:styleId="51">
    <w:name w:val="日期 字符"/>
    <w:link w:val="16"/>
    <w:qFormat/>
    <w:uiPriority w:val="0"/>
    <w:rPr>
      <w:rFonts w:ascii="Times New Roman" w:hAnsi="Times New Roman" w:eastAsia="宋体" w:cs="Times New Roman"/>
      <w:sz w:val="24"/>
      <w:szCs w:val="24"/>
    </w:rPr>
  </w:style>
  <w:style w:type="character" w:customStyle="1" w:styleId="52">
    <w:name w:val="正文文本缩进 2 字符"/>
    <w:link w:val="17"/>
    <w:qFormat/>
    <w:uiPriority w:val="0"/>
    <w:rPr>
      <w:rFonts w:ascii="Times New Roman" w:hAnsi="Times New Roman" w:eastAsia="宋体" w:cs="Times New Roman"/>
      <w:szCs w:val="24"/>
    </w:rPr>
  </w:style>
  <w:style w:type="character" w:customStyle="1" w:styleId="53">
    <w:name w:val="批注框文本 字符"/>
    <w:link w:val="18"/>
    <w:semiHidden/>
    <w:qFormat/>
    <w:uiPriority w:val="0"/>
    <w:rPr>
      <w:rFonts w:ascii="Times New Roman" w:hAnsi="Times New Roman" w:eastAsia="宋体" w:cs="Times New Roman"/>
      <w:sz w:val="18"/>
      <w:szCs w:val="18"/>
    </w:rPr>
  </w:style>
  <w:style w:type="character" w:customStyle="1" w:styleId="54">
    <w:name w:val="页脚 字符"/>
    <w:link w:val="19"/>
    <w:qFormat/>
    <w:uiPriority w:val="99"/>
    <w:rPr>
      <w:rFonts w:eastAsia="宋体"/>
      <w:sz w:val="18"/>
    </w:rPr>
  </w:style>
  <w:style w:type="character" w:customStyle="1" w:styleId="55">
    <w:name w:val="页眉 字符"/>
    <w:link w:val="20"/>
    <w:qFormat/>
    <w:uiPriority w:val="99"/>
    <w:rPr>
      <w:rFonts w:eastAsia="宋体"/>
      <w:sz w:val="18"/>
    </w:rPr>
  </w:style>
  <w:style w:type="character" w:customStyle="1" w:styleId="56">
    <w:name w:val="正文文本缩进 3 字符"/>
    <w:link w:val="24"/>
    <w:qFormat/>
    <w:uiPriority w:val="0"/>
    <w:rPr>
      <w:sz w:val="16"/>
      <w:szCs w:val="16"/>
    </w:rPr>
  </w:style>
  <w:style w:type="character" w:customStyle="1" w:styleId="57">
    <w:name w:val="批注主题 字符"/>
    <w:link w:val="28"/>
    <w:qFormat/>
    <w:uiPriority w:val="0"/>
    <w:rPr>
      <w:b/>
      <w:bCs/>
      <w:szCs w:val="24"/>
    </w:rPr>
  </w:style>
  <w:style w:type="character" w:customStyle="1" w:styleId="58">
    <w:name w:val="文档结构图 Char1"/>
    <w:semiHidden/>
    <w:qFormat/>
    <w:uiPriority w:val="99"/>
    <w:rPr>
      <w:rFonts w:ascii="宋体" w:hAnsi="Times New Roman" w:eastAsia="宋体" w:cs="Times New Roman"/>
      <w:sz w:val="18"/>
      <w:szCs w:val="18"/>
    </w:rPr>
  </w:style>
  <w:style w:type="character" w:customStyle="1" w:styleId="59">
    <w:name w:val="label"/>
    <w:qFormat/>
    <w:uiPriority w:val="0"/>
    <w:rPr>
      <w:color w:val="555555"/>
    </w:rPr>
  </w:style>
  <w:style w:type="character" w:customStyle="1" w:styleId="60">
    <w:name w:val="纯文本 Char1"/>
    <w:semiHidden/>
    <w:qFormat/>
    <w:uiPriority w:val="99"/>
    <w:rPr>
      <w:rFonts w:ascii="宋体" w:hAnsi="Courier New" w:eastAsia="宋体" w:cs="Courier New"/>
      <w:szCs w:val="21"/>
    </w:rPr>
  </w:style>
  <w:style w:type="character" w:customStyle="1" w:styleId="61">
    <w:name w:val="列表段落 字符"/>
    <w:link w:val="62"/>
    <w:qFormat/>
    <w:uiPriority w:val="0"/>
    <w:rPr>
      <w:rFonts w:eastAsia="宋体"/>
      <w:szCs w:val="24"/>
    </w:rPr>
  </w:style>
  <w:style w:type="paragraph" w:styleId="62">
    <w:name w:val="List Paragraph"/>
    <w:basedOn w:val="1"/>
    <w:link w:val="61"/>
    <w:qFormat/>
    <w:uiPriority w:val="0"/>
    <w:pPr>
      <w:ind w:firstLine="420" w:firstLineChars="200"/>
    </w:pPr>
    <w:rPr>
      <w:kern w:val="0"/>
      <w:sz w:val="20"/>
    </w:rPr>
  </w:style>
  <w:style w:type="character" w:customStyle="1" w:styleId="63">
    <w:name w:val="正文首行缩进两字符 Char"/>
    <w:link w:val="64"/>
    <w:qFormat/>
    <w:uiPriority w:val="0"/>
    <w:rPr>
      <w:rFonts w:ascii="Times New Roman" w:hAnsi="Times New Roman" w:eastAsia="宋体" w:cs="Times New Roman"/>
      <w:szCs w:val="24"/>
    </w:rPr>
  </w:style>
  <w:style w:type="paragraph" w:customStyle="1" w:styleId="64">
    <w:name w:val="正文首行缩进两字符"/>
    <w:basedOn w:val="1"/>
    <w:link w:val="63"/>
    <w:qFormat/>
    <w:uiPriority w:val="0"/>
    <w:pPr>
      <w:spacing w:line="360" w:lineRule="auto"/>
      <w:ind w:firstLine="200" w:firstLineChars="200"/>
    </w:pPr>
    <w:rPr>
      <w:kern w:val="0"/>
      <w:sz w:val="20"/>
    </w:rPr>
  </w:style>
  <w:style w:type="character" w:customStyle="1" w:styleId="65">
    <w:name w:val="GW-正文 Char"/>
    <w:link w:val="66"/>
    <w:qFormat/>
    <w:uiPriority w:val="0"/>
    <w:rPr>
      <w:rFonts w:eastAsia="仿宋_GB2312"/>
      <w:sz w:val="24"/>
      <w:szCs w:val="24"/>
    </w:rPr>
  </w:style>
  <w:style w:type="paragraph" w:customStyle="1" w:styleId="66">
    <w:name w:val="GW-正文"/>
    <w:basedOn w:val="1"/>
    <w:link w:val="65"/>
    <w:qFormat/>
    <w:uiPriority w:val="0"/>
    <w:pPr>
      <w:spacing w:line="360" w:lineRule="auto"/>
      <w:ind w:firstLine="200" w:firstLineChars="200"/>
    </w:pPr>
    <w:rPr>
      <w:rFonts w:eastAsia="仿宋_GB2312"/>
      <w:kern w:val="0"/>
      <w:sz w:val="24"/>
    </w:rPr>
  </w:style>
  <w:style w:type="character" w:customStyle="1" w:styleId="67">
    <w:name w:val="modifier"/>
    <w:qFormat/>
    <w:uiPriority w:val="0"/>
    <w:rPr>
      <w:color w:val="FF0000"/>
    </w:rPr>
  </w:style>
  <w:style w:type="character" w:customStyle="1" w:styleId="68">
    <w:name w:val="正文文本缩进 Char1"/>
    <w:semiHidden/>
    <w:qFormat/>
    <w:uiPriority w:val="99"/>
    <w:rPr>
      <w:rFonts w:ascii="Times New Roman" w:hAnsi="Times New Roman" w:eastAsia="宋体" w:cs="Times New Roman"/>
      <w:szCs w:val="24"/>
    </w:rPr>
  </w:style>
  <w:style w:type="character" w:customStyle="1" w:styleId="69">
    <w:name w:val="页脚 Char1"/>
    <w:semiHidden/>
    <w:qFormat/>
    <w:uiPriority w:val="99"/>
    <w:rPr>
      <w:rFonts w:ascii="Times New Roman" w:hAnsi="Times New Roman" w:eastAsia="宋体" w:cs="Times New Roman"/>
      <w:sz w:val="18"/>
      <w:szCs w:val="18"/>
    </w:rPr>
  </w:style>
  <w:style w:type="character" w:customStyle="1" w:styleId="70">
    <w:name w:val=" Char Char9"/>
    <w:qFormat/>
    <w:uiPriority w:val="0"/>
    <w:rPr>
      <w:kern w:val="2"/>
      <w:sz w:val="21"/>
    </w:rPr>
  </w:style>
  <w:style w:type="character" w:customStyle="1" w:styleId="71">
    <w:name w:val="正文文本缩进 3 Char1"/>
    <w:semiHidden/>
    <w:qFormat/>
    <w:uiPriority w:val="99"/>
    <w:rPr>
      <w:rFonts w:ascii="Times New Roman" w:hAnsi="Times New Roman" w:eastAsia="宋体" w:cs="Times New Roman"/>
      <w:sz w:val="16"/>
      <w:szCs w:val="16"/>
    </w:rPr>
  </w:style>
  <w:style w:type="character" w:customStyle="1" w:styleId="72">
    <w:name w:val="批注主题 Char1"/>
    <w:semiHidden/>
    <w:qFormat/>
    <w:uiPriority w:val="99"/>
    <w:rPr>
      <w:rFonts w:ascii="Times New Roman" w:hAnsi="Times New Roman" w:eastAsia="宋体" w:cs="Times New Roman"/>
      <w:b/>
      <w:bCs/>
      <w:szCs w:val="24"/>
    </w:rPr>
  </w:style>
  <w:style w:type="character" w:customStyle="1" w:styleId="73">
    <w:name w:val="（符号）邀请函中一、"/>
    <w:qFormat/>
    <w:uiPriority w:val="0"/>
    <w:rPr>
      <w:rFonts w:ascii="黑体" w:hAnsi="黑体" w:eastAsia="黑体"/>
      <w:b/>
      <w:bCs/>
      <w:sz w:val="24"/>
    </w:rPr>
  </w:style>
  <w:style w:type="character" w:customStyle="1" w:styleId="74">
    <w:name w:val="批注文字 Char1"/>
    <w:qFormat/>
    <w:uiPriority w:val="0"/>
    <w:rPr>
      <w:kern w:val="2"/>
      <w:sz w:val="18"/>
      <w:lang w:bidi="ar-SA"/>
    </w:rPr>
  </w:style>
  <w:style w:type="character" w:customStyle="1" w:styleId="75">
    <w:name w:val="页眉 Char1"/>
    <w:semiHidden/>
    <w:qFormat/>
    <w:uiPriority w:val="99"/>
    <w:rPr>
      <w:rFonts w:ascii="Times New Roman" w:hAnsi="Times New Roman" w:eastAsia="宋体" w:cs="Times New Roman"/>
      <w:sz w:val="18"/>
      <w:szCs w:val="18"/>
    </w:rPr>
  </w:style>
  <w:style w:type="character" w:customStyle="1" w:styleId="76">
    <w:name w:val="批注文字 Char2"/>
    <w:semiHidden/>
    <w:qFormat/>
    <w:uiPriority w:val="99"/>
    <w:rPr>
      <w:rFonts w:ascii="Times New Roman" w:hAnsi="Times New Roman" w:eastAsia="宋体" w:cs="Times New Roman"/>
      <w:szCs w:val="24"/>
    </w:rPr>
  </w:style>
  <w:style w:type="character" w:customStyle="1" w:styleId="77">
    <w:name w:val="正文文本 Char1"/>
    <w:semiHidden/>
    <w:qFormat/>
    <w:uiPriority w:val="99"/>
    <w:rPr>
      <w:rFonts w:ascii="Times New Roman" w:hAnsi="Times New Roman" w:eastAsia="宋体" w:cs="Times New Roman"/>
      <w:szCs w:val="24"/>
    </w:rPr>
  </w:style>
  <w:style w:type="paragraph" w:customStyle="1" w:styleId="78">
    <w:name w:val="Table Paragraph"/>
    <w:basedOn w:val="1"/>
    <w:qFormat/>
    <w:uiPriority w:val="99"/>
    <w:pPr>
      <w:autoSpaceDE w:val="0"/>
      <w:autoSpaceDN w:val="0"/>
      <w:adjustRightInd w:val="0"/>
      <w:jc w:val="left"/>
    </w:pPr>
    <w:rPr>
      <w:kern w:val="0"/>
      <w:sz w:val="24"/>
      <w:u w:val="none" w:color="000000"/>
    </w:rPr>
  </w:style>
  <w:style w:type="paragraph" w:customStyle="1" w:styleId="79">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CD正文"/>
    <w:basedOn w:val="1"/>
    <w:qFormat/>
    <w:uiPriority w:val="99"/>
    <w:pPr>
      <w:spacing w:line="360" w:lineRule="auto"/>
      <w:ind w:firstLine="493"/>
    </w:pPr>
    <w:rPr>
      <w:sz w:val="30"/>
      <w:szCs w:val="30"/>
    </w:rPr>
  </w:style>
  <w:style w:type="paragraph" w:customStyle="1" w:styleId="8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3">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Calibri"/>
      <w:color w:val="000000"/>
      <w:kern w:val="2"/>
      <w:sz w:val="21"/>
      <w:szCs w:val="21"/>
      <w:u w:val="none" w:color="000000"/>
      <w:lang w:val="en-US" w:eastAsia="zh-CN" w:bidi="ar-SA"/>
    </w:rPr>
  </w:style>
  <w:style w:type="paragraph" w:customStyle="1" w:styleId="84">
    <w:name w:val="表格"/>
    <w:basedOn w:val="1"/>
    <w:qFormat/>
    <w:uiPriority w:val="0"/>
    <w:pPr>
      <w:spacing w:line="400" w:lineRule="exact"/>
    </w:pPr>
    <w:rPr>
      <w:sz w:val="24"/>
    </w:rPr>
  </w:style>
  <w:style w:type="paragraph" w:customStyle="1" w:styleId="85">
    <w:name w:val="_Style 84"/>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样式 首行缩进:  2 字符"/>
    <w:basedOn w:val="1"/>
    <w:qFormat/>
    <w:uiPriority w:val="0"/>
    <w:pPr>
      <w:spacing w:line="400" w:lineRule="exact"/>
      <w:ind w:firstLine="200" w:firstLineChars="200"/>
    </w:pPr>
    <w:rPr>
      <w:rFonts w:cs="宋体"/>
      <w:sz w:val="24"/>
    </w:rPr>
  </w:style>
  <w:style w:type="paragraph" w:customStyle="1" w:styleId="87">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8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9">
    <w:name w:val="Char Char Char Char Char Char Char Char Char Char Char Char Char Char1 Char Char Char Char"/>
    <w:basedOn w:val="1"/>
    <w:qFormat/>
    <w:uiPriority w:val="0"/>
    <w:rPr>
      <w:szCs w:val="21"/>
    </w:rPr>
  </w:style>
  <w:style w:type="paragraph" w:customStyle="1" w:styleId="90">
    <w:name w:val="纯文本1"/>
    <w:basedOn w:val="1"/>
    <w:qFormat/>
    <w:uiPriority w:val="0"/>
    <w:rPr>
      <w:rFonts w:hAnsi="Courier New"/>
    </w:rPr>
  </w:style>
  <w:style w:type="character" w:customStyle="1" w:styleId="91">
    <w:name w:val="font31"/>
    <w:basedOn w:val="31"/>
    <w:qFormat/>
    <w:uiPriority w:val="0"/>
    <w:rPr>
      <w:rFonts w:hint="eastAsia" w:ascii="宋体" w:hAnsi="宋体" w:eastAsia="宋体" w:cs="宋体"/>
      <w:color w:val="000000"/>
      <w:sz w:val="22"/>
      <w:szCs w:val="22"/>
      <w:u w:val="none"/>
    </w:rPr>
  </w:style>
  <w:style w:type="paragraph" w:customStyle="1" w:styleId="92">
    <w:name w:val="02、首行缩进2字符正文"/>
    <w:basedOn w:val="1"/>
    <w:qFormat/>
    <w:uiPriority w:val="0"/>
    <w:pPr>
      <w:tabs>
        <w:tab w:val="left" w:pos="0"/>
      </w:tabs>
      <w:wordWrap w:val="0"/>
      <w:topLinePunct/>
      <w:ind w:firstLine="480" w:firstLineChars="200"/>
    </w:pPr>
  </w:style>
  <w:style w:type="character" w:customStyle="1" w:styleId="93">
    <w:name w:val="font11"/>
    <w:basedOn w:val="31"/>
    <w:qFormat/>
    <w:uiPriority w:val="0"/>
    <w:rPr>
      <w:rFonts w:hint="eastAsia" w:ascii="黑体" w:hAnsi="宋体" w:eastAsia="黑体" w:cs="黑体"/>
      <w:color w:val="000000"/>
      <w:sz w:val="22"/>
      <w:szCs w:val="22"/>
      <w:u w:val="none"/>
    </w:rPr>
  </w:style>
  <w:style w:type="character" w:customStyle="1" w:styleId="94">
    <w:name w:val="font21"/>
    <w:basedOn w:val="31"/>
    <w:qFormat/>
    <w:uiPriority w:val="0"/>
    <w:rPr>
      <w:rFonts w:hint="eastAsia" w:ascii="宋体" w:hAnsi="宋体" w:eastAsia="宋体" w:cs="宋体"/>
      <w:color w:val="000000"/>
      <w:sz w:val="22"/>
      <w:szCs w:val="22"/>
      <w:u w:val="none"/>
    </w:rPr>
  </w:style>
  <w:style w:type="paragraph" w:styleId="95">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3398;&#26657;&#21381;&#39302;&#35805;&#31570;&#35774;&#22791;&#65288;&#26080;&#32447;&#32819;&#40614;&#65289;&#21450;&#23545;&#35762;&#26426;&#34917;&#20805;&#36141;&#32622;&#35810;&#20215;&#25991;&#20214;&#65288;&#31532;&#20108;&#27425;&#65289;\&#23398;&#26657;&#21381;&#39302;&#35805;&#31570;&#35774;&#22791;&#65288;&#26080;&#32447;&#32819;&#40614;&#65289;&#21450;&#23545;&#35762;&#26426;&#34917;&#20805;&#36141;&#32622;&#35810;&#20215;&#25991;&#20214;&#31532;&#20108;&#2742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学校厅馆话筒设备（无线耳麦）及对讲机补充购置询价文件第二次.dotx</Template>
  <Pages>27</Pages>
  <Words>11842</Words>
  <Characters>12918</Characters>
  <Lines>63</Lines>
  <Paragraphs>17</Paragraphs>
  <TotalTime>3</TotalTime>
  <ScaleCrop>false</ScaleCrop>
  <LinksUpToDate>false</LinksUpToDate>
  <CharactersWithSpaces>14110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2023-10-31T09:13:00Z</dcterms:created>
  <dc:creator>Administrator</dc:creator>
  <cp:lastModifiedBy>qzuser</cp:lastModifiedBy>
  <cp:lastPrinted>2023-11-13T07:17:00Z</cp:lastPrinted>
  <dcterms:modified xsi:type="dcterms:W3CDTF">2023-11-13T08:04:10Z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A00C48F50F01450B92F57ABA807BE064_13</vt:lpwstr>
  </property>
</Properties>
</file>