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等线" w:hAnsi="等线" w:eastAsia="等线" w:cs="方正小标宋简体"/>
          <w:b/>
          <w:sz w:val="38"/>
        </w:rPr>
      </w:pPr>
    </w:p>
    <w:p>
      <w:pPr>
        <w:pStyle w:val="2"/>
        <w:jc w:val="center"/>
        <w:rPr>
          <w:rFonts w:hint="eastAsia" w:ascii="黑体" w:hAnsi="黑体" w:eastAsia="黑体" w:cs="方正小标宋简体"/>
          <w:b/>
          <w:sz w:val="44"/>
          <w:szCs w:val="44"/>
        </w:rPr>
      </w:pPr>
      <w:r>
        <w:rPr>
          <w:rFonts w:hint="eastAsia" w:ascii="方正小标宋简体" w:hAnsi="方正小标宋简体" w:eastAsia="方正小标宋简体" w:cs="方正小标宋简体"/>
          <w:sz w:val="44"/>
          <w:szCs w:val="44"/>
        </w:rPr>
        <w:t>西昌民族幼儿师范高等专科学校</w:t>
      </w:r>
      <w:r>
        <w:rPr>
          <w:rFonts w:hint="eastAsia" w:ascii="方正小标宋简体" w:hAnsi="方正小标宋简体" w:eastAsia="方正小标宋简体" w:cs="方正小标宋简体"/>
          <w:sz w:val="44"/>
          <w:szCs w:val="44"/>
          <w:lang w:val="en-US" w:eastAsia="zh-CN"/>
        </w:rPr>
        <w:t>厅馆</w:t>
      </w:r>
      <w:r>
        <w:rPr>
          <w:rFonts w:hint="eastAsia" w:ascii="方正小标宋简体" w:hAnsi="方正小标宋简体" w:eastAsia="方正小标宋简体" w:cs="方正小标宋简体"/>
          <w:sz w:val="44"/>
          <w:szCs w:val="44"/>
        </w:rPr>
        <w:t>话筒设备（无线耳麦）</w:t>
      </w:r>
      <w:r>
        <w:rPr>
          <w:rFonts w:hint="eastAsia" w:ascii="方正小标宋简体" w:hAnsi="方正小标宋简体" w:eastAsia="方正小标宋简体" w:cs="方正小标宋简体"/>
          <w:sz w:val="44"/>
          <w:szCs w:val="44"/>
          <w:lang w:val="en-US" w:eastAsia="zh-CN"/>
        </w:rPr>
        <w:t>及对讲机</w:t>
      </w:r>
      <w:r>
        <w:rPr>
          <w:rFonts w:hint="eastAsia" w:ascii="方正小标宋简体" w:hAnsi="方正小标宋简体" w:eastAsia="方正小标宋简体" w:cs="方正小标宋简体"/>
          <w:sz w:val="44"/>
          <w:szCs w:val="44"/>
        </w:rPr>
        <w:t>补充购置</w:t>
      </w:r>
      <w:r>
        <w:rPr>
          <w:rFonts w:hint="eastAsia" w:ascii="黑体" w:hAnsi="黑体" w:eastAsia="黑体" w:cs="方正小标宋简体"/>
          <w:b/>
          <w:sz w:val="44"/>
          <w:szCs w:val="44"/>
        </w:rPr>
        <w:t>采购项目</w:t>
      </w:r>
    </w:p>
    <w:p>
      <w:pPr>
        <w:pStyle w:val="2"/>
        <w:jc w:val="center"/>
        <w:rPr>
          <w:rFonts w:hint="eastAsia" w:ascii="黑体" w:hAnsi="黑体" w:eastAsia="黑体"/>
          <w:sz w:val="44"/>
          <w:szCs w:val="44"/>
          <w:lang w:eastAsia="zh-CN"/>
        </w:rPr>
      </w:pPr>
      <w:r>
        <w:rPr>
          <w:rFonts w:hint="eastAsia" w:ascii="黑体" w:hAnsi="黑体" w:eastAsia="黑体" w:cs="方正小标宋简体"/>
          <w:b/>
          <w:sz w:val="44"/>
          <w:szCs w:val="44"/>
          <w:lang w:eastAsia="zh-CN"/>
        </w:rPr>
        <w:t>（第二次）</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2"/>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10</w:t>
      </w:r>
      <w:r>
        <w:rPr>
          <w:rFonts w:ascii="华文中宋" w:hAnsi="华文中宋" w:eastAsia="华文中宋"/>
          <w:bCs/>
          <w:sz w:val="30"/>
          <w:szCs w:val="30"/>
          <w:lang w:val="zh-CN"/>
        </w:rPr>
        <w:t>月</w:t>
      </w:r>
    </w:p>
    <w:p>
      <w:pPr>
        <w:pStyle w:val="2"/>
        <w:rPr>
          <w:rFonts w:hint="eastAsia"/>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2"/>
        <w:spacing w:line="360" w:lineRule="auto"/>
        <w:rPr>
          <w:rFonts w:hint="eastAsia" w:ascii="宋体" w:hAnsi="宋体"/>
        </w:rPr>
      </w:pPr>
    </w:p>
    <w:p>
      <w:pPr>
        <w:pStyle w:val="21"/>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38"/>
          <w:sz w:val="28"/>
          <w:szCs w:val="28"/>
        </w:rPr>
        <w:instrText xml:space="preserve"> </w:instrText>
      </w:r>
      <w:r>
        <w:rPr>
          <w:sz w:val="28"/>
          <w:szCs w:val="28"/>
        </w:rPr>
        <w:instrText xml:space="preserve">HYPERLINK \l "_Toc60142196"</w:instrText>
      </w:r>
      <w:r>
        <w:rPr>
          <w:rStyle w:val="38"/>
          <w:sz w:val="28"/>
          <w:szCs w:val="28"/>
        </w:rPr>
        <w:instrText xml:space="preserve"> </w:instrText>
      </w:r>
      <w:r>
        <w:rPr>
          <w:sz w:val="28"/>
          <w:szCs w:val="28"/>
        </w:rPr>
        <w:fldChar w:fldCharType="separate"/>
      </w:r>
      <w:r>
        <w:rPr>
          <w:rStyle w:val="38"/>
          <w:sz w:val="28"/>
          <w:szCs w:val="28"/>
        </w:rPr>
        <w:t xml:space="preserve">第一章 </w:t>
      </w:r>
      <w:r>
        <w:rPr>
          <w:rStyle w:val="38"/>
          <w:rFonts w:hint="eastAsia"/>
          <w:sz w:val="28"/>
          <w:szCs w:val="28"/>
          <w:lang w:eastAsia="zh-CN"/>
        </w:rPr>
        <w:t>询价</w:t>
      </w:r>
      <w:r>
        <w:rPr>
          <w:rStyle w:val="38"/>
          <w:rFonts w:hint="eastAsia"/>
          <w:sz w:val="28"/>
          <w:szCs w:val="28"/>
        </w:rPr>
        <w:t>邀请</w:t>
      </w:r>
      <w:r>
        <w:rPr>
          <w:sz w:val="28"/>
          <w:szCs w:val="28"/>
        </w:rPr>
        <w:tab/>
      </w:r>
      <w:r>
        <w:rPr>
          <w:rFonts w:hint="eastAsia"/>
          <w:sz w:val="28"/>
          <w:szCs w:val="28"/>
        </w:rPr>
        <w:t>3</w:t>
      </w:r>
      <w:r>
        <w:rPr>
          <w:sz w:val="28"/>
          <w:szCs w:val="28"/>
        </w:rPr>
        <w:fldChar w:fldCharType="end"/>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"_Toc60142197"</w:instrText>
      </w:r>
      <w:r>
        <w:rPr>
          <w:rStyle w:val="38"/>
          <w:sz w:val="28"/>
          <w:szCs w:val="28"/>
        </w:rPr>
        <w:instrText xml:space="preserve"> </w:instrText>
      </w:r>
      <w:r>
        <w:rPr>
          <w:sz w:val="28"/>
          <w:szCs w:val="28"/>
        </w:rPr>
        <w:fldChar w:fldCharType="separate"/>
      </w:r>
      <w:r>
        <w:rPr>
          <w:rStyle w:val="38"/>
          <w:sz w:val="28"/>
          <w:szCs w:val="28"/>
        </w:rPr>
        <w:t xml:space="preserve">第二章 </w:t>
      </w:r>
      <w:r>
        <w:rPr>
          <w:rStyle w:val="38"/>
          <w:rFonts w:hint="eastAsia"/>
          <w:sz w:val="28"/>
          <w:szCs w:val="28"/>
          <w:lang w:eastAsia="zh-CN"/>
        </w:rPr>
        <w:t>询价</w:t>
      </w:r>
      <w:r>
        <w:rPr>
          <w:rStyle w:val="38"/>
          <w:sz w:val="28"/>
          <w:szCs w:val="28"/>
        </w:rPr>
        <w:t>须知</w:t>
      </w:r>
      <w:r>
        <w:rPr>
          <w:sz w:val="28"/>
          <w:szCs w:val="28"/>
        </w:rPr>
        <w:tab/>
      </w:r>
      <w:r>
        <w:rPr>
          <w:rFonts w:hint="eastAsia"/>
          <w:sz w:val="28"/>
          <w:szCs w:val="28"/>
        </w:rPr>
        <w:t>1</w:t>
      </w:r>
      <w:r>
        <w:rPr>
          <w:sz w:val="28"/>
          <w:szCs w:val="28"/>
        </w:rPr>
        <w:fldChar w:fldCharType="end"/>
      </w:r>
      <w:r>
        <w:rPr>
          <w:rFonts w:hint="eastAsia"/>
          <w:sz w:val="28"/>
          <w:szCs w:val="28"/>
        </w:rPr>
        <w:t>0</w:t>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"_Toc60142198"</w:instrText>
      </w:r>
      <w:r>
        <w:rPr>
          <w:rStyle w:val="38"/>
          <w:sz w:val="28"/>
          <w:szCs w:val="28"/>
        </w:rPr>
        <w:instrText xml:space="preserve"> </w:instrText>
      </w:r>
      <w:r>
        <w:rPr>
          <w:sz w:val="28"/>
          <w:szCs w:val="28"/>
        </w:rPr>
        <w:fldChar w:fldCharType="separate"/>
      </w:r>
      <w:r>
        <w:rPr>
          <w:rStyle w:val="38"/>
          <w:sz w:val="28"/>
          <w:szCs w:val="28"/>
        </w:rPr>
        <w:t>第三章 评选程序</w:t>
      </w:r>
      <w:r>
        <w:rPr>
          <w:sz w:val="28"/>
          <w:szCs w:val="28"/>
        </w:rPr>
        <w:tab/>
      </w:r>
      <w:r>
        <w:rPr>
          <w:rFonts w:hint="eastAsia"/>
          <w:sz w:val="28"/>
          <w:szCs w:val="28"/>
        </w:rPr>
        <w:t>1</w:t>
      </w:r>
      <w:r>
        <w:rPr>
          <w:sz w:val="28"/>
          <w:szCs w:val="28"/>
        </w:rPr>
        <w:fldChar w:fldCharType="end"/>
      </w:r>
      <w:r>
        <w:rPr>
          <w:rFonts w:hint="eastAsia"/>
          <w:sz w:val="28"/>
          <w:szCs w:val="28"/>
        </w:rPr>
        <w:t>1</w:t>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"_Toc60142199"</w:instrText>
      </w:r>
      <w:r>
        <w:rPr>
          <w:rStyle w:val="38"/>
          <w:sz w:val="28"/>
          <w:szCs w:val="28"/>
        </w:rPr>
        <w:instrText xml:space="preserve"> </w:instrText>
      </w:r>
      <w:r>
        <w:rPr>
          <w:sz w:val="28"/>
          <w:szCs w:val="28"/>
        </w:rPr>
        <w:fldChar w:fldCharType="separate"/>
      </w:r>
      <w:r>
        <w:rPr>
          <w:rStyle w:val="38"/>
          <w:sz w:val="28"/>
          <w:szCs w:val="28"/>
        </w:rPr>
        <w:t>第四章 供应商资格条件要求</w:t>
      </w:r>
      <w:r>
        <w:rPr>
          <w:sz w:val="28"/>
          <w:szCs w:val="28"/>
        </w:rPr>
        <w:tab/>
      </w:r>
      <w:r>
        <w:rPr>
          <w:rFonts w:hint="eastAsia"/>
          <w:sz w:val="28"/>
          <w:szCs w:val="28"/>
        </w:rPr>
        <w:t>1</w:t>
      </w:r>
      <w:r>
        <w:rPr>
          <w:sz w:val="28"/>
          <w:szCs w:val="28"/>
        </w:rPr>
        <w:fldChar w:fldCharType="end"/>
      </w:r>
      <w:r>
        <w:rPr>
          <w:rFonts w:hint="eastAsia"/>
          <w:sz w:val="28"/>
          <w:szCs w:val="28"/>
        </w:rPr>
        <w:t>2</w:t>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"_Toc60142200"</w:instrText>
      </w:r>
      <w:r>
        <w:rPr>
          <w:rStyle w:val="38"/>
          <w:sz w:val="28"/>
          <w:szCs w:val="28"/>
        </w:rPr>
        <w:instrText xml:space="preserve"> </w:instrText>
      </w:r>
      <w:r>
        <w:rPr>
          <w:sz w:val="28"/>
          <w:szCs w:val="28"/>
        </w:rPr>
        <w:fldChar w:fldCharType="separate"/>
      </w:r>
      <w:r>
        <w:rPr>
          <w:rStyle w:val="38"/>
          <w:rFonts w:ascii="宋体" w:hAnsi="宋体"/>
          <w:sz w:val="28"/>
          <w:szCs w:val="28"/>
        </w:rPr>
        <w:t>第</w:t>
      </w:r>
      <w:r>
        <w:rPr>
          <w:rStyle w:val="38"/>
          <w:rFonts w:hint="eastAsia" w:ascii="宋体" w:hAnsi="宋体"/>
          <w:sz w:val="28"/>
          <w:szCs w:val="28"/>
        </w:rPr>
        <w:t>五</w:t>
      </w:r>
      <w:r>
        <w:rPr>
          <w:rStyle w:val="38"/>
          <w:rFonts w:ascii="宋体" w:hAnsi="宋体"/>
          <w:sz w:val="28"/>
          <w:szCs w:val="28"/>
        </w:rPr>
        <w:t>章 供应商资格证明材料</w:t>
      </w:r>
      <w:r>
        <w:rPr>
          <w:sz w:val="28"/>
          <w:szCs w:val="28"/>
        </w:rPr>
        <w:tab/>
      </w:r>
      <w:r>
        <w:rPr>
          <w:rFonts w:hint="eastAsia"/>
          <w:sz w:val="28"/>
          <w:szCs w:val="28"/>
        </w:rPr>
        <w:t>1</w:t>
      </w:r>
      <w:r>
        <w:rPr>
          <w:sz w:val="28"/>
          <w:szCs w:val="28"/>
        </w:rPr>
        <w:fldChar w:fldCharType="end"/>
      </w:r>
      <w:r>
        <w:rPr>
          <w:rFonts w:hint="eastAsia"/>
          <w:sz w:val="28"/>
          <w:szCs w:val="28"/>
        </w:rPr>
        <w:t>3</w:t>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"_Toc60142201"</w:instrText>
      </w:r>
      <w:r>
        <w:rPr>
          <w:rStyle w:val="38"/>
          <w:sz w:val="28"/>
          <w:szCs w:val="28"/>
        </w:rPr>
        <w:instrText xml:space="preserve"> </w:instrText>
      </w:r>
      <w:r>
        <w:rPr>
          <w:sz w:val="28"/>
          <w:szCs w:val="28"/>
        </w:rPr>
        <w:fldChar w:fldCharType="separate"/>
      </w:r>
      <w:r>
        <w:rPr>
          <w:rStyle w:val="38"/>
          <w:sz w:val="28"/>
          <w:szCs w:val="28"/>
        </w:rPr>
        <w:t>第</w:t>
      </w:r>
      <w:r>
        <w:rPr>
          <w:rStyle w:val="38"/>
          <w:rFonts w:hint="eastAsia"/>
          <w:sz w:val="28"/>
          <w:szCs w:val="28"/>
        </w:rPr>
        <w:t>六</w:t>
      </w:r>
      <w:r>
        <w:rPr>
          <w:rStyle w:val="38"/>
          <w:sz w:val="28"/>
          <w:szCs w:val="28"/>
        </w:rPr>
        <w:t>章 响应文件格式</w:t>
      </w:r>
      <w:r>
        <w:rPr>
          <w:sz w:val="28"/>
          <w:szCs w:val="28"/>
        </w:rPr>
        <w:tab/>
      </w:r>
      <w:r>
        <w:rPr>
          <w:rFonts w:hint="eastAsia"/>
          <w:sz w:val="28"/>
          <w:szCs w:val="28"/>
        </w:rPr>
        <w:t>1</w:t>
      </w:r>
      <w:r>
        <w:rPr>
          <w:sz w:val="28"/>
          <w:szCs w:val="28"/>
        </w:rPr>
        <w:fldChar w:fldCharType="end"/>
      </w:r>
      <w:r>
        <w:rPr>
          <w:rFonts w:hint="eastAsia"/>
          <w:sz w:val="28"/>
          <w:szCs w:val="28"/>
        </w:rPr>
        <w:t>4</w:t>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"_Toc60142204"</w:instrText>
      </w:r>
      <w:r>
        <w:rPr>
          <w:rStyle w:val="38"/>
          <w:sz w:val="28"/>
          <w:szCs w:val="28"/>
        </w:rPr>
        <w:instrText xml:space="preserve"> </w:instrText>
      </w:r>
      <w:r>
        <w:rPr>
          <w:sz w:val="28"/>
          <w:szCs w:val="28"/>
        </w:rPr>
        <w:fldChar w:fldCharType="separate"/>
      </w:r>
      <w:r>
        <w:rPr>
          <w:rStyle w:val="38"/>
          <w:sz w:val="28"/>
          <w:szCs w:val="28"/>
        </w:rPr>
        <w:t>第</w:t>
      </w:r>
      <w:r>
        <w:rPr>
          <w:rStyle w:val="38"/>
          <w:rFonts w:hint="eastAsia"/>
          <w:sz w:val="28"/>
          <w:szCs w:val="28"/>
        </w:rPr>
        <w:t>七</w:t>
      </w:r>
      <w:r>
        <w:rPr>
          <w:rStyle w:val="38"/>
          <w:sz w:val="28"/>
          <w:szCs w:val="28"/>
        </w:rPr>
        <w:t xml:space="preserve">章 </w:t>
      </w:r>
      <w:r>
        <w:rPr>
          <w:rStyle w:val="38"/>
          <w:rFonts w:hint="eastAsia"/>
          <w:sz w:val="28"/>
          <w:szCs w:val="28"/>
          <w:lang w:eastAsia="zh-CN"/>
        </w:rPr>
        <w:t>询价</w:t>
      </w:r>
      <w:r>
        <w:rPr>
          <w:rStyle w:val="38"/>
          <w:sz w:val="28"/>
          <w:szCs w:val="28"/>
        </w:rPr>
        <w:t>方法及报告</w:t>
      </w:r>
      <w:r>
        <w:rPr>
          <w:sz w:val="28"/>
          <w:szCs w:val="28"/>
        </w:rPr>
        <w:tab/>
      </w:r>
      <w:r>
        <w:rPr>
          <w:rFonts w:hint="eastAsia"/>
          <w:sz w:val="28"/>
          <w:szCs w:val="28"/>
        </w:rPr>
        <w:t>2</w:t>
      </w:r>
      <w:r>
        <w:rPr>
          <w:sz w:val="28"/>
          <w:szCs w:val="28"/>
        </w:rPr>
        <w:fldChar w:fldCharType="end"/>
      </w:r>
      <w:r>
        <w:rPr>
          <w:rFonts w:hint="eastAsia"/>
          <w:sz w:val="28"/>
          <w:szCs w:val="28"/>
        </w:rPr>
        <w:t>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3"/>
        <w:rPr>
          <w:rFonts w:hint="eastAsia"/>
          <w:color w:val="auto"/>
        </w:rPr>
      </w:pPr>
      <w:r>
        <w:rPr>
          <w:rFonts w:hint="eastAsia"/>
          <w:sz w:val="24"/>
        </w:rPr>
        <w:br w:type="page"/>
      </w:r>
      <w:bookmarkStart w:id="0" w:name="_Toc15979"/>
      <w:bookmarkStart w:id="1" w:name="_Toc12898"/>
      <w:bookmarkStart w:id="2" w:name="_Toc60142196"/>
      <w:r>
        <w:rPr>
          <w:rFonts w:hint="eastAsia"/>
          <w:color w:val="auto"/>
        </w:rPr>
        <w:t xml:space="preserve">第一章 </w:t>
      </w:r>
      <w:bookmarkEnd w:id="0"/>
      <w:bookmarkEnd w:id="1"/>
      <w:r>
        <w:rPr>
          <w:rFonts w:hint="eastAsia"/>
          <w:color w:val="auto"/>
          <w:lang w:eastAsia="zh-CN"/>
        </w:rPr>
        <w:t>询价</w:t>
      </w:r>
      <w:r>
        <w:rPr>
          <w:rFonts w:hint="eastAsia"/>
          <w:color w:val="auto"/>
        </w:rPr>
        <w:t>邀请</w:t>
      </w:r>
      <w:bookmarkEnd w:id="2"/>
    </w:p>
    <w:p>
      <w:pPr>
        <w:pStyle w:val="2"/>
        <w:spacing w:line="360" w:lineRule="auto"/>
        <w:ind w:firstLine="480" w:firstLineChars="200"/>
        <w:rPr>
          <w:rFonts w:hint="eastAsia" w:ascii="宋体" w:hAnsi="宋体" w:cs="宋体"/>
          <w:color w:val="auto"/>
          <w:sz w:val="24"/>
        </w:rPr>
      </w:pPr>
    </w:p>
    <w:p>
      <w:pPr>
        <w:pStyle w:val="2"/>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厅馆</w:t>
      </w:r>
      <w:r>
        <w:rPr>
          <w:rFonts w:hint="eastAsia" w:ascii="宋体" w:hAnsi="宋体" w:cs="宋体"/>
          <w:color w:val="auto"/>
          <w:sz w:val="24"/>
        </w:rPr>
        <w:t>话筒设备（无线耳麦）</w:t>
      </w:r>
      <w:r>
        <w:rPr>
          <w:rFonts w:hint="eastAsia" w:ascii="宋体" w:hAnsi="宋体" w:cs="宋体"/>
          <w:color w:val="auto"/>
          <w:sz w:val="24"/>
          <w:lang w:val="en-US" w:eastAsia="zh-CN"/>
        </w:rPr>
        <w:t>及对讲机</w:t>
      </w:r>
      <w:r>
        <w:rPr>
          <w:rFonts w:hint="eastAsia" w:ascii="宋体" w:hAnsi="宋体" w:cs="宋体"/>
          <w:color w:val="auto"/>
          <w:sz w:val="24"/>
        </w:rPr>
        <w:t>补充购置采购项目</w:t>
      </w:r>
      <w:r>
        <w:rPr>
          <w:rFonts w:hint="eastAsia" w:ascii="宋体" w:hAnsi="宋体" w:cs="宋体"/>
          <w:color w:val="auto"/>
          <w:sz w:val="24"/>
          <w:lang w:eastAsia="zh-CN"/>
        </w:rPr>
        <w:t>（第二次）</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1.项目编号：XCMY202</w:t>
      </w:r>
      <w:r>
        <w:rPr>
          <w:rFonts w:hint="eastAsia" w:ascii="宋体" w:hAnsi="宋体" w:cs="仿宋"/>
          <w:color w:val="auto"/>
          <w:kern w:val="0"/>
          <w:sz w:val="24"/>
          <w:lang w:val="en-US" w:eastAsia="zh-CN"/>
        </w:rPr>
        <w:t>31019</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2.采购项目名称：西昌民族幼儿师范高等专科学校</w:t>
      </w:r>
      <w:r>
        <w:rPr>
          <w:rFonts w:hint="eastAsia" w:ascii="宋体" w:hAnsi="宋体" w:cs="仿宋"/>
          <w:color w:val="auto"/>
          <w:kern w:val="0"/>
          <w:sz w:val="24"/>
          <w:lang w:val="en-US" w:eastAsia="zh-CN"/>
        </w:rPr>
        <w:t>厅馆</w:t>
      </w:r>
      <w:r>
        <w:rPr>
          <w:rFonts w:hint="eastAsia" w:ascii="宋体" w:hAnsi="宋体" w:cs="仿宋"/>
          <w:color w:val="auto"/>
          <w:kern w:val="0"/>
          <w:sz w:val="24"/>
        </w:rPr>
        <w:t>话筒设备（无线耳麦）</w:t>
      </w:r>
      <w:r>
        <w:rPr>
          <w:rFonts w:hint="eastAsia" w:ascii="宋体" w:hAnsi="宋体" w:cs="仿宋"/>
          <w:color w:val="auto"/>
          <w:kern w:val="0"/>
          <w:sz w:val="24"/>
          <w:lang w:val="en-US" w:eastAsia="zh-CN"/>
        </w:rPr>
        <w:t>及对讲机</w:t>
      </w:r>
      <w:r>
        <w:rPr>
          <w:rFonts w:hint="eastAsia" w:ascii="宋体" w:hAnsi="宋体" w:cs="仿宋"/>
          <w:color w:val="auto"/>
          <w:kern w:val="0"/>
          <w:sz w:val="24"/>
        </w:rPr>
        <w:t>补充购置</w:t>
      </w:r>
      <w:r>
        <w:rPr>
          <w:rFonts w:hint="eastAsia" w:ascii="宋体" w:hAnsi="宋体" w:cs="宋体"/>
          <w:color w:val="auto"/>
          <w:sz w:val="24"/>
        </w:rPr>
        <w:t>采购项目</w:t>
      </w:r>
      <w:r>
        <w:rPr>
          <w:rFonts w:hint="eastAsia" w:ascii="宋体" w:hAnsi="宋体" w:cs="宋体"/>
          <w:color w:val="auto"/>
          <w:sz w:val="24"/>
          <w:lang w:eastAsia="zh-CN"/>
        </w:rPr>
        <w:t>（第二次）</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4.项目概况：随着学校的发展和办学规模的扩大，在学校</w:t>
      </w:r>
      <w:r>
        <w:rPr>
          <w:rFonts w:hint="eastAsia" w:ascii="宋体" w:hAnsi="宋体" w:cs="仿宋"/>
          <w:color w:val="auto"/>
          <w:sz w:val="24"/>
          <w:lang w:val="en-US" w:eastAsia="zh-CN"/>
        </w:rPr>
        <w:t>厅馆</w:t>
      </w:r>
      <w:r>
        <w:rPr>
          <w:rFonts w:hint="eastAsia" w:ascii="宋体" w:hAnsi="宋体" w:cs="仿宋"/>
          <w:color w:val="auto"/>
          <w:sz w:val="24"/>
        </w:rPr>
        <w:t>剧场举办的各种会议、演出、活动、讲座逐年增多，</w:t>
      </w:r>
      <w:r>
        <w:rPr>
          <w:rFonts w:hint="eastAsia" w:ascii="宋体" w:hAnsi="宋体" w:cs="仿宋"/>
          <w:color w:val="auto"/>
          <w:sz w:val="24"/>
          <w:lang w:val="en-US" w:eastAsia="zh-CN"/>
        </w:rPr>
        <w:t>各部门对活动支撑的硬件及技术要求越来越高，厅馆</w:t>
      </w:r>
      <w:r>
        <w:rPr>
          <w:rFonts w:hint="eastAsia" w:ascii="宋体" w:hAnsi="宋体" w:cs="仿宋"/>
          <w:color w:val="auto"/>
          <w:sz w:val="24"/>
        </w:rPr>
        <w:t>剧场</w:t>
      </w:r>
      <w:r>
        <w:rPr>
          <w:rFonts w:hint="eastAsia" w:ascii="宋体" w:hAnsi="宋体" w:cs="仿宋"/>
          <w:color w:val="auto"/>
          <w:sz w:val="24"/>
          <w:lang w:val="en-US" w:eastAsia="zh-CN"/>
        </w:rPr>
        <w:t>及设备</w:t>
      </w:r>
      <w:r>
        <w:rPr>
          <w:rFonts w:hint="eastAsia" w:ascii="宋体" w:hAnsi="宋体" w:cs="仿宋"/>
          <w:color w:val="auto"/>
          <w:sz w:val="24"/>
        </w:rPr>
        <w:t>的重要性日益凸显，为保障</w:t>
      </w:r>
      <w:r>
        <w:rPr>
          <w:rFonts w:hint="eastAsia" w:ascii="宋体" w:hAnsi="宋体" w:cs="仿宋"/>
          <w:color w:val="auto"/>
          <w:sz w:val="24"/>
          <w:lang w:val="en-US" w:eastAsia="zh-CN"/>
        </w:rPr>
        <w:t>厅馆</w:t>
      </w:r>
      <w:r>
        <w:rPr>
          <w:rFonts w:hint="eastAsia" w:ascii="宋体" w:hAnsi="宋体" w:cs="仿宋"/>
          <w:color w:val="auto"/>
          <w:sz w:val="24"/>
        </w:rPr>
        <w:t>剧场正常运转，拟扩充采购话筒</w:t>
      </w:r>
      <w:r>
        <w:rPr>
          <w:rFonts w:hint="eastAsia" w:ascii="宋体" w:hAnsi="宋体" w:cs="仿宋"/>
          <w:color w:val="auto"/>
          <w:sz w:val="24"/>
          <w:lang w:val="en-US" w:eastAsia="zh-CN"/>
        </w:rPr>
        <w:t>耳麦</w:t>
      </w:r>
      <w:r>
        <w:rPr>
          <w:rFonts w:hint="eastAsia" w:ascii="宋体" w:hAnsi="宋体" w:cs="仿宋"/>
          <w:color w:val="auto"/>
          <w:sz w:val="24"/>
          <w:lang w:eastAsia="zh-CN"/>
        </w:rPr>
        <w:t>，</w:t>
      </w:r>
      <w:r>
        <w:rPr>
          <w:rFonts w:hint="eastAsia" w:ascii="宋体" w:hAnsi="宋体" w:cs="仿宋"/>
          <w:color w:val="auto"/>
          <w:sz w:val="24"/>
          <w:lang w:val="en-US" w:eastAsia="zh-CN"/>
        </w:rPr>
        <w:t>以适应各种活动的需求</w:t>
      </w:r>
      <w:r>
        <w:rPr>
          <w:rFonts w:hint="eastAsia" w:ascii="宋体" w:hAnsi="宋体" w:cs="仿宋"/>
          <w:color w:val="auto"/>
          <w:sz w:val="24"/>
        </w:rPr>
        <w:t>。</w:t>
      </w:r>
    </w:p>
    <w:p>
      <w:p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二、资金情况：</w:t>
      </w:r>
      <w:r>
        <w:rPr>
          <w:rFonts w:ascii="宋体" w:hAnsi="宋体" w:eastAsia="宋体" w:cs="宋体"/>
          <w:color w:val="auto"/>
          <w:sz w:val="24"/>
          <w:szCs w:val="24"/>
        </w:rPr>
        <w:t>数字校园运维费</w:t>
      </w:r>
      <w:r>
        <w:rPr>
          <w:rFonts w:hint="eastAsia" w:ascii="Arial" w:hAnsi="Arial" w:cs="仿宋"/>
          <w:color w:val="auto"/>
          <w:kern w:val="0"/>
          <w:sz w:val="24"/>
        </w:rPr>
        <w:t>。</w:t>
      </w:r>
      <w:r>
        <w:rPr>
          <w:rFonts w:hint="eastAsia" w:ascii="Arial" w:hAnsi="Arial" w:cs="仿宋"/>
          <w:bCs/>
          <w:color w:val="auto"/>
          <w:kern w:val="0"/>
          <w:sz w:val="24"/>
        </w:rPr>
        <w:t>本项目经费预算为</w:t>
      </w:r>
      <w:r>
        <w:rPr>
          <w:rFonts w:hint="eastAsia" w:ascii="Arial" w:hAnsi="Arial" w:cs="仿宋"/>
          <w:bCs/>
          <w:color w:val="auto"/>
          <w:kern w:val="0"/>
          <w:sz w:val="24"/>
          <w:lang w:val="en-US" w:eastAsia="zh-CN"/>
        </w:rPr>
        <w:t>98360</w:t>
      </w:r>
      <w:r>
        <w:rPr>
          <w:rFonts w:hint="eastAsia" w:ascii="Arial" w:hAnsi="Arial" w:cs="仿宋"/>
          <w:bCs/>
          <w:color w:val="auto"/>
          <w:kern w:val="0"/>
          <w:sz w:val="24"/>
        </w:rPr>
        <w:t>元。</w:t>
      </w:r>
    </w:p>
    <w:p>
      <w:pPr>
        <w:adjustRightInd w:val="0"/>
        <w:snapToGrid w:val="0"/>
        <w:spacing w:line="360" w:lineRule="auto"/>
        <w:ind w:firstLine="482" w:firstLineChars="200"/>
        <w:rPr>
          <w:rFonts w:hint="eastAsia" w:ascii="Arial" w:hAnsi="Arial" w:eastAsia="宋体" w:cs="仿宋"/>
          <w:bCs/>
          <w:color w:val="auto"/>
          <w:kern w:val="0"/>
          <w:sz w:val="24"/>
          <w:lang w:eastAsia="zh-CN"/>
        </w:rPr>
      </w:pPr>
      <w:r>
        <w:rPr>
          <w:rFonts w:hint="eastAsia" w:ascii="宋体"/>
          <w:b/>
          <w:bCs/>
          <w:color w:val="auto"/>
          <w:kern w:val="0"/>
          <w:sz w:val="24"/>
        </w:rPr>
        <w:t>三、技术要求</w:t>
      </w:r>
      <w:r>
        <w:rPr>
          <w:rFonts w:hint="eastAsia" w:ascii="宋体"/>
          <w:b/>
          <w:bCs/>
          <w:color w:val="auto"/>
          <w:kern w:val="0"/>
          <w:sz w:val="24"/>
          <w:lang w:eastAsia="zh-CN"/>
        </w:rPr>
        <w:t>：</w:t>
      </w:r>
    </w:p>
    <w:tbl>
      <w:tblPr>
        <w:tblStyle w:val="30"/>
        <w:tblW w:w="9158" w:type="dxa"/>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9"/>
        <w:gridCol w:w="1529"/>
        <w:gridCol w:w="4959"/>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eastAsia="宋体" w:cs="宋体"/>
                <w:b/>
                <w:bCs/>
                <w:i w:val="0"/>
                <w:iCs w:val="0"/>
                <w:color w:val="auto"/>
                <w:sz w:val="24"/>
                <w:szCs w:val="24"/>
                <w:u w:val="none"/>
                <w:shd w:val="clear" w:color="auto" w:fill="auto"/>
                <w:lang w:val="en-US" w:eastAsia="zh-CN"/>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495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5"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数字无线接收机</w:t>
            </w:r>
          </w:p>
        </w:tc>
        <w:tc>
          <w:tcPr>
            <w:tcW w:w="4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射频载波频围:470-937.5 MHz，根据地区不同有所差别（参见频率范围和输出功率表）</w:t>
            </w:r>
          </w:p>
          <w:p>
            <w:pPr>
              <w:keepNext w:val="0"/>
              <w:keepLines w:val="0"/>
              <w:widowControl/>
              <w:numPr>
                <w:ilvl w:val="0"/>
                <w:numId w:val="1"/>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2、工作范围:100 米（328 英尺）射频调节步进大小:25 kHz，根据地区不同有所差别</w:t>
            </w:r>
          </w:p>
          <w:p>
            <w:pPr>
              <w:keepNext w:val="0"/>
              <w:keepLines w:val="0"/>
              <w:widowControl/>
              <w:numPr>
                <w:ilvl w:val="0"/>
                <w:numId w:val="1"/>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3、镜频抑制:&gt;70 dB，典型值</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射频灵敏度:</w:t>
            </w:r>
            <w:r>
              <w:rPr>
                <w:rStyle w:val="94"/>
                <w:rFonts w:hint="eastAsia" w:ascii="宋体" w:hAnsi="宋体" w:eastAsia="宋体" w:cs="宋体"/>
                <w:color w:val="auto"/>
                <w:sz w:val="22"/>
                <w:szCs w:val="22"/>
                <w:shd w:val="clear" w:color="auto" w:fill="auto"/>
                <w:lang w:val="en-US" w:eastAsia="zh-CN" w:bidi="ar"/>
              </w:rPr>
              <w:t>−</w:t>
            </w:r>
            <w:r>
              <w:rPr>
                <w:rStyle w:val="93"/>
                <w:rFonts w:hint="eastAsia" w:ascii="宋体" w:hAnsi="宋体" w:eastAsia="宋体" w:cs="宋体"/>
                <w:color w:val="auto"/>
                <w:sz w:val="22"/>
                <w:szCs w:val="22"/>
                <w:shd w:val="clear" w:color="auto" w:fill="auto"/>
                <w:lang w:val="en-US" w:eastAsia="zh-CN" w:bidi="ar"/>
              </w:rPr>
              <w:t>97 dBm,10-5 BER延迟:3.2 毫秒</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5、高通/低切滤波器:150 Hz @ -12 db/oct</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6、音频响应:20  Hz-20 kHz (+1, -2 dB)</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7、音频动态范围:118 dB,在 1% THD 情况下，A-加权，典型值</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总谐波失真:&lt;0.02%</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8、系统音频极性:对话筒隔膜的正压会在插针 2（相对于 XLR 输出的插针 3）上和 6.35 毫米输出的尖端（相对于 6.35 毫米输出的环）上产生正电压。</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话筒偏移范围:0至21 dB（3 dB 步进）</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9、工作温度范围:-18°C (0°F) 至 50°C (122°F)</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10、存储温度范围:-29°C (-20°F) 至 74°C (165°F)</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11、外观尺寸:42x197x152毫米(1.65x7.76x5.98英寸),高度x宽度x深度</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12、重量:816 克, 无天线</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13、外壳:镀锌钢板</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14、电源要求:15 V DC @ 600 mA, 由外部电源供电（尖端为正极）</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RF 输入,假象谐波:&gt;75 dB, 典型</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15、接头类型:BNC</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16、阻抗:50 Ω</w:t>
            </w:r>
          </w:p>
          <w:p>
            <w:pPr>
              <w:keepNext w:val="0"/>
              <w:keepLines w:val="0"/>
              <w:widowControl/>
              <w:numPr>
                <w:ilvl w:val="0"/>
                <w:numId w:val="2"/>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17、幻象电源保护:1/4" (6.35mm) 是,XLR 是</w:t>
            </w:r>
          </w:p>
          <w:p>
            <w:pPr>
              <w:keepNext w:val="0"/>
              <w:keepLines w:val="0"/>
              <w:widowControl/>
              <w:numPr>
                <w:ilvl w:val="0"/>
                <w:numId w:val="3"/>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音频输出,增益调节范围:-18到+42 dB,采用1 dB步进</w:t>
            </w:r>
          </w:p>
          <w:p>
            <w:pPr>
              <w:keepNext w:val="0"/>
              <w:keepLines w:val="0"/>
              <w:widowControl/>
              <w:numPr>
                <w:ilvl w:val="0"/>
                <w:numId w:val="0"/>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19、配置:1/4"(6.35 mm)平衡(Tip=audio+,Ring=audio-,Sleeve=ground),XLR平衡(1=接地,2=音频+，3=音频</w:t>
            </w:r>
            <w:r>
              <w:rPr>
                <w:rStyle w:val="94"/>
                <w:rFonts w:hint="eastAsia" w:ascii="宋体" w:hAnsi="宋体" w:eastAsia="宋体" w:cs="宋体"/>
                <w:color w:val="auto"/>
                <w:sz w:val="22"/>
                <w:szCs w:val="22"/>
                <w:shd w:val="clear" w:color="auto" w:fill="auto"/>
                <w:lang w:val="en-US" w:eastAsia="zh-CN" w:bidi="ar"/>
              </w:rPr>
              <w:t>−</w:t>
            </w:r>
            <w:r>
              <w:rPr>
                <w:rStyle w:val="93"/>
                <w:rFonts w:hint="eastAsia" w:ascii="宋体" w:hAnsi="宋体" w:eastAsia="宋体" w:cs="宋体"/>
                <w:color w:val="auto"/>
                <w:sz w:val="22"/>
                <w:szCs w:val="22"/>
                <w:shd w:val="clear" w:color="auto" w:fill="auto"/>
                <w:lang w:val="en-US" w:eastAsia="zh-CN" w:bidi="ar"/>
              </w:rPr>
              <w:t>)</w:t>
            </w:r>
          </w:p>
          <w:p>
            <w:pPr>
              <w:keepNext w:val="0"/>
              <w:keepLines w:val="0"/>
              <w:widowControl/>
              <w:numPr>
                <w:ilvl w:val="0"/>
                <w:numId w:val="0"/>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20、阻抗:1/4"(6.35mm)1.3 kΩ(670Ω非平衡),XLR(线路)400Ω(200Ω非平衡),XLR(话筒)150Ω</w:t>
            </w:r>
          </w:p>
          <w:p>
            <w:pPr>
              <w:keepNext w:val="0"/>
              <w:keepLines w:val="0"/>
              <w:widowControl/>
              <w:numPr>
                <w:ilvl w:val="0"/>
                <w:numId w:val="0"/>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21、全范围输出:1/4"(6.35mm)+15 dBV差别(+9 dBV单一),XLR,LINE设置=+15 dBV,MIC设置=-15  dBV</w:t>
            </w:r>
          </w:p>
          <w:p>
            <w:pPr>
              <w:keepNext w:val="0"/>
              <w:keepLines w:val="0"/>
              <w:widowControl/>
              <w:numPr>
                <w:ilvl w:val="0"/>
                <w:numId w:val="0"/>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22、话筒/线路开关:30 dB 衰减</w:t>
            </w:r>
          </w:p>
          <w:p>
            <w:pPr>
              <w:keepNext w:val="0"/>
              <w:keepLines w:val="0"/>
              <w:widowControl/>
              <w:numPr>
                <w:ilvl w:val="0"/>
                <w:numId w:val="0"/>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23、连网,网络接口:单一以太网端口 10/100  Mbps</w:t>
            </w:r>
          </w:p>
          <w:p>
            <w:pPr>
              <w:keepNext w:val="0"/>
              <w:keepLines w:val="0"/>
              <w:widowControl/>
              <w:numPr>
                <w:ilvl w:val="0"/>
                <w:numId w:val="0"/>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24、网络寻址功能:DHCP 或手动指定 IP 地址</w:t>
            </w:r>
          </w:p>
          <w:p>
            <w:pPr>
              <w:keepNext w:val="0"/>
              <w:keepLines w:val="0"/>
              <w:widowControl/>
              <w:numPr>
                <w:ilvl w:val="0"/>
                <w:numId w:val="0"/>
              </w:numPr>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25、最大线缆长度:100 米 (328 英尺)</w:t>
            </w:r>
          </w:p>
          <w:p>
            <w:pPr>
              <w:keepNext w:val="0"/>
              <w:keepLines w:val="0"/>
              <w:widowControl/>
              <w:numPr>
                <w:ilvl w:val="0"/>
                <w:numId w:val="0"/>
              </w:numPr>
              <w:suppressLineNumbers w:val="0"/>
              <w:tabs>
                <w:tab w:val="left" w:pos="0"/>
              </w:tabs>
              <w:jc w:val="left"/>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ascii="宋体" w:hAnsi="宋体" w:eastAsia="宋体" w:cs="宋体"/>
                <w:color w:val="auto"/>
                <w:sz w:val="24"/>
                <w:szCs w:val="24"/>
              </w:rPr>
              <w:t>需提供产品生产厂商官网截图或厂家参数证明材料做为参数佐证，并对所提供材料的真实性负责。</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8台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腰包式发射机</w:t>
            </w:r>
          </w:p>
        </w:tc>
        <w:tc>
          <w:tcPr>
            <w:tcW w:w="4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1、电池型号:充电锂电池或1.5 伏五号电池</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2、外观尺寸:98x68x25.5毫米(3.86x2.68x1英寸),高度x宽度x深度</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3、重量:89 克</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4、外壳:PC/ABS</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5、音频输入,接头插头:4 针插头迷你连接器（TA4M）</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6、阻抗:1 MΩ</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7、最大输入电平:8.2 dBV (2.57 Vrms,7.27 Vpp)</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8、前置放大器等效输入噪声 (EIN):-118  dBV</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9、射频输出,天线类型:1/4 波长天线</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10、占用带宽:&lt;200 千赫茲</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11、调幅类型:舒尔专利数字设备</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12、电源:1 mW 或 10 mW</w:t>
            </w:r>
          </w:p>
          <w:p>
            <w:pPr>
              <w:keepNext w:val="0"/>
              <w:keepLines w:val="0"/>
              <w:widowControl/>
              <w:suppressLineNumbers w:val="0"/>
              <w:tabs>
                <w:tab w:val="left" w:pos="0"/>
              </w:tabs>
              <w:jc w:val="left"/>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ascii="宋体" w:hAnsi="宋体" w:eastAsia="宋体" w:cs="宋体"/>
                <w:color w:val="auto"/>
                <w:sz w:val="24"/>
                <w:szCs w:val="24"/>
              </w:rPr>
              <w:t>需提供产品生产厂商官网截图或厂家参数证明材料做为参数佐证，并对所提供材料的真实性负责。</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4"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头戴式麦克风</w:t>
            </w:r>
          </w:p>
        </w:tc>
        <w:tc>
          <w:tcPr>
            <w:tcW w:w="4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1、话筒拾音头：MEMS</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2、类型：电容（驻极体偏置）</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3、指向性形状：全方向性</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4、频率响应：20 赫兹至 20 千赫</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5、灵敏度：-42.5 dBV 1 千赫下 [1]</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6、本底噪声：A 加权、同等声学性能，31 分贝声压级</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7、信噪比：63.0 dB</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8、最大声压级：132.0 分贝声压级,1% THD 下 1 千赫, 典型</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9、动态范围：101.0 dB 典型</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 xml:space="preserve">10、话筒电流：220 </w:t>
            </w:r>
            <w:r>
              <w:rPr>
                <w:rStyle w:val="91"/>
                <w:rFonts w:hint="eastAsia" w:ascii="宋体" w:hAnsi="宋体" w:eastAsia="宋体" w:cs="宋体"/>
                <w:color w:val="auto"/>
                <w:sz w:val="22"/>
                <w:szCs w:val="22"/>
                <w:shd w:val="clear" w:color="auto" w:fill="auto"/>
                <w:lang w:val="en-US" w:eastAsia="zh-CN" w:bidi="ar"/>
              </w:rPr>
              <w:t>µ</w:t>
            </w:r>
            <w:r>
              <w:rPr>
                <w:rStyle w:val="93"/>
                <w:rFonts w:hint="eastAsia" w:ascii="宋体" w:hAnsi="宋体" w:eastAsia="宋体" w:cs="宋体"/>
                <w:color w:val="auto"/>
                <w:sz w:val="22"/>
                <w:szCs w:val="22"/>
                <w:shd w:val="clear" w:color="auto" w:fill="auto"/>
                <w:lang w:val="en-US" w:eastAsia="zh-CN" w:bidi="ar"/>
              </w:rPr>
              <w:t>A, 最大值</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11、建议工作电压：5 V DC, 2.6 V DC 最小值</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12、外壳：ABS 铸模</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13、接口类型：TA4F</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14、极性：震膜上的正压力能够在针脚 3 上产生相对针脚 1 的正电压</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15、缆线直径：1.6 毫米</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16、线缆长度：1.67 米（66 英寸）</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17、话筒长度：14.5毫米</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18、话筒直径：5.2毫米</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19、悬架长度：13.6厘米</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20、净重： 20.0 克 (0.12 盎司)</w:t>
            </w:r>
          </w:p>
          <w:p>
            <w:pPr>
              <w:keepNext w:val="0"/>
              <w:keepLines w:val="0"/>
              <w:widowControl/>
              <w:suppressLineNumbers w:val="0"/>
              <w:tabs>
                <w:tab w:val="left" w:pos="0"/>
              </w:tabs>
              <w:jc w:val="left"/>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ascii="宋体" w:hAnsi="宋体" w:eastAsia="宋体" w:cs="宋体"/>
                <w:color w:val="auto"/>
                <w:sz w:val="24"/>
                <w:szCs w:val="24"/>
              </w:rPr>
              <w:t>需提供产品生产厂商官网截图或厂家参数证明材料做为参数佐证，并对所提供材料的真实性负责。</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default"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4</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天线分配系统</w:t>
            </w:r>
          </w:p>
        </w:tc>
        <w:tc>
          <w:tcPr>
            <w:tcW w:w="4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1、电源要求：14 到 18  V DC</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2、直流输出：14 到 18  V DC (x4)</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3、输出电流：所有 DC 输出总值,2.5 A, 最大值</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4、工作温度范围：-18°C (0°F) 到 63°C (145°F)</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5、外观尺寸：45 x 483 x 172  毫米 (高度 x 宽度 x 深度)</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6、净重：1.62 公斤 (3.6 磅)</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7、接头类型：BNC</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8、射频频率范围：470-960 MHz</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9、偏置电压：15 V DC (150  mA, 最大值) (x2)</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10、阻抗：50  Ω</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11、输出交调截取点：21 dBm, 典型</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12、绝缘输出接头：30 dB, 典型</w:t>
            </w:r>
          </w:p>
          <w:p>
            <w:pPr>
              <w:keepNext w:val="0"/>
              <w:keepLines w:val="0"/>
              <w:widowControl/>
              <w:suppressLineNumbers w:val="0"/>
              <w:tabs>
                <w:tab w:val="left" w:pos="0"/>
              </w:tabs>
              <w:jc w:val="left"/>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13、增益：输入到任何输出端口 (未使用的端口以 50 欧姆终端负载)，-1 到 +1 dB</w:t>
            </w:r>
          </w:p>
          <w:p>
            <w:pPr>
              <w:keepNext w:val="0"/>
              <w:keepLines w:val="0"/>
              <w:widowControl/>
              <w:suppressLineNumbers w:val="0"/>
              <w:tabs>
                <w:tab w:val="left" w:pos="0"/>
              </w:tabs>
              <w:jc w:val="left"/>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ascii="宋体" w:hAnsi="宋体" w:eastAsia="宋体" w:cs="宋体"/>
                <w:color w:val="auto"/>
                <w:sz w:val="24"/>
                <w:szCs w:val="24"/>
              </w:rPr>
              <w:t>需提供产品生产厂商官网截图或厂家参数证明材料做为参数佐证，并对所提供材料的真实性负责。</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9"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5</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有源指向性天线</w:t>
            </w:r>
          </w:p>
        </w:tc>
        <w:tc>
          <w:tcPr>
            <w:tcW w:w="4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1、接头类型:BNC, 插孔</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2、阻抗:50 Ω</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3、电源要求:来自同轴连接的 10 至 15 伏直流偏移, 75 mA</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4、射频频率范围:470–900 MHz</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5、接收模式:3 dB 波束宽度,70 角度</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6、三阶过载交截点 (OIP3):&gt;30 dBm</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7、天线增益:在轴,7.5dBi</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 xml:space="preserve">8、信号增益:±1 dB, 可切换,+12 dB, +6 dB, 0 dB, </w:t>
            </w:r>
            <w:r>
              <w:rPr>
                <w:rStyle w:val="94"/>
                <w:rFonts w:hint="eastAsia" w:ascii="宋体" w:hAnsi="宋体" w:eastAsia="宋体" w:cs="宋体"/>
                <w:color w:val="auto"/>
                <w:sz w:val="22"/>
                <w:szCs w:val="22"/>
                <w:shd w:val="clear" w:color="auto" w:fill="auto"/>
                <w:lang w:val="en-US" w:eastAsia="zh-CN" w:bidi="ar"/>
              </w:rPr>
              <w:t>−</w:t>
            </w:r>
            <w:r>
              <w:rPr>
                <w:rStyle w:val="93"/>
                <w:rFonts w:hint="eastAsia" w:ascii="宋体" w:hAnsi="宋体" w:eastAsia="宋体" w:cs="宋体"/>
                <w:color w:val="auto"/>
                <w:sz w:val="22"/>
                <w:szCs w:val="22"/>
                <w:shd w:val="clear" w:color="auto" w:fill="auto"/>
                <w:lang w:val="en-US" w:eastAsia="zh-CN" w:bidi="ar"/>
              </w:rPr>
              <w:t>6 dB</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9、射频信号过强指示灯阈值:</w:t>
            </w:r>
            <w:r>
              <w:rPr>
                <w:rStyle w:val="94"/>
                <w:rFonts w:hint="eastAsia" w:ascii="宋体" w:hAnsi="宋体" w:eastAsia="宋体" w:cs="宋体"/>
                <w:color w:val="auto"/>
                <w:sz w:val="22"/>
                <w:szCs w:val="22"/>
                <w:shd w:val="clear" w:color="auto" w:fill="auto"/>
                <w:lang w:val="en-US" w:eastAsia="zh-CN" w:bidi="ar"/>
              </w:rPr>
              <w:t>−</w:t>
            </w:r>
            <w:r>
              <w:rPr>
                <w:rStyle w:val="93"/>
                <w:rFonts w:hint="eastAsia" w:ascii="宋体" w:hAnsi="宋体" w:eastAsia="宋体" w:cs="宋体"/>
                <w:color w:val="auto"/>
                <w:sz w:val="22"/>
                <w:szCs w:val="22"/>
                <w:shd w:val="clear" w:color="auto" w:fill="auto"/>
                <w:lang w:val="en-US" w:eastAsia="zh-CN" w:bidi="ar"/>
              </w:rPr>
              <w:t>5 dBm,射频信号过载指示灯无法在无源增益设置下工作</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10、外观尺寸:316x359x36毫米 (高度x宽度x深度)</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11、重量:317 克(11.2 盎司)</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12、工作温度范围:</w:t>
            </w:r>
            <w:r>
              <w:rPr>
                <w:rStyle w:val="94"/>
                <w:rFonts w:hint="eastAsia" w:ascii="宋体" w:hAnsi="宋体" w:eastAsia="宋体" w:cs="宋体"/>
                <w:color w:val="auto"/>
                <w:sz w:val="22"/>
                <w:szCs w:val="22"/>
                <w:shd w:val="clear" w:color="auto" w:fill="auto"/>
                <w:lang w:val="en-US" w:eastAsia="zh-CN" w:bidi="ar"/>
              </w:rPr>
              <w:t>−</w:t>
            </w:r>
            <w:r>
              <w:rPr>
                <w:rStyle w:val="93"/>
                <w:rFonts w:hint="eastAsia" w:ascii="宋体" w:hAnsi="宋体" w:eastAsia="宋体" w:cs="宋体"/>
                <w:color w:val="auto"/>
                <w:sz w:val="22"/>
                <w:szCs w:val="22"/>
                <w:shd w:val="clear" w:color="auto" w:fill="auto"/>
                <w:lang w:val="en-US" w:eastAsia="zh-CN" w:bidi="ar"/>
              </w:rPr>
              <w:t>18°C (0°F) 到 63°C (145°F)</w:t>
            </w:r>
          </w:p>
          <w:p>
            <w:pPr>
              <w:keepNext w:val="0"/>
              <w:keepLines w:val="0"/>
              <w:widowControl/>
              <w:suppressLineNumbers w:val="0"/>
              <w:tabs>
                <w:tab w:val="left" w:pos="0"/>
              </w:tabs>
              <w:jc w:val="left"/>
              <w:textAlignment w:val="center"/>
              <w:rPr>
                <w:rStyle w:val="93"/>
                <w:rFonts w:hint="eastAsia" w:ascii="宋体" w:hAnsi="宋体" w:eastAsia="宋体" w:cs="宋体"/>
                <w:color w:val="auto"/>
                <w:sz w:val="22"/>
                <w:szCs w:val="22"/>
                <w:shd w:val="clear" w:color="auto" w:fill="auto"/>
                <w:lang w:val="en-US" w:eastAsia="zh-CN" w:bidi="ar"/>
              </w:rPr>
            </w:pPr>
            <w:r>
              <w:rPr>
                <w:rStyle w:val="93"/>
                <w:rFonts w:hint="eastAsia" w:ascii="宋体" w:hAnsi="宋体" w:eastAsia="宋体" w:cs="宋体"/>
                <w:color w:val="auto"/>
                <w:sz w:val="22"/>
                <w:szCs w:val="22"/>
                <w:shd w:val="clear" w:color="auto" w:fill="auto"/>
                <w:lang w:val="en-US" w:eastAsia="zh-CN" w:bidi="ar"/>
              </w:rPr>
              <w:t>13、存储温度范围:</w:t>
            </w:r>
            <w:r>
              <w:rPr>
                <w:rStyle w:val="94"/>
                <w:rFonts w:hint="eastAsia" w:ascii="宋体" w:hAnsi="宋体" w:eastAsia="宋体" w:cs="宋体"/>
                <w:color w:val="auto"/>
                <w:sz w:val="22"/>
                <w:szCs w:val="22"/>
                <w:shd w:val="clear" w:color="auto" w:fill="auto"/>
                <w:lang w:val="en-US" w:eastAsia="zh-CN" w:bidi="ar"/>
              </w:rPr>
              <w:t>−</w:t>
            </w:r>
            <w:r>
              <w:rPr>
                <w:rStyle w:val="93"/>
                <w:rFonts w:hint="eastAsia" w:ascii="宋体" w:hAnsi="宋体" w:eastAsia="宋体" w:cs="宋体"/>
                <w:color w:val="auto"/>
                <w:sz w:val="22"/>
                <w:szCs w:val="22"/>
                <w:shd w:val="clear" w:color="auto" w:fill="auto"/>
                <w:lang w:val="en-US" w:eastAsia="zh-CN" w:bidi="ar"/>
              </w:rPr>
              <w:t>29°C (-20°F) 到 74°C (165°F)</w:t>
            </w:r>
          </w:p>
          <w:p>
            <w:pPr>
              <w:keepNext w:val="0"/>
              <w:keepLines w:val="0"/>
              <w:widowControl/>
              <w:suppressLineNumbers w:val="0"/>
              <w:tabs>
                <w:tab w:val="left" w:pos="0"/>
              </w:tabs>
              <w:jc w:val="left"/>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ascii="宋体" w:hAnsi="宋体" w:eastAsia="宋体" w:cs="宋体"/>
                <w:color w:val="auto"/>
                <w:sz w:val="24"/>
                <w:szCs w:val="24"/>
              </w:rPr>
              <w:t>需提供产品生产厂商官网截图或厂家参数证明材料做为参数佐证，并对所提供材料的真实性负责。</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2张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default" w:ascii="宋体" w:hAnsi="宋体" w:eastAsia="宋体" w:cs="宋体"/>
                <w:i w:val="0"/>
                <w:iCs w:val="0"/>
                <w:color w:val="auto"/>
                <w:kern w:val="0"/>
                <w:sz w:val="22"/>
                <w:szCs w:val="22"/>
                <w:u w:val="none"/>
                <w:shd w:val="clear" w:color="auto" w:fill="auto"/>
                <w:lang w:val="en-US" w:eastAsia="zh-CN" w:bidi="ar"/>
              </w:rPr>
            </w:pPr>
            <w:r>
              <w:rPr>
                <w:rFonts w:hint="eastAsia" w:cs="宋体"/>
                <w:i w:val="0"/>
                <w:iCs w:val="0"/>
                <w:color w:val="auto"/>
                <w:kern w:val="0"/>
                <w:sz w:val="22"/>
                <w:szCs w:val="22"/>
                <w:u w:val="none"/>
                <w:shd w:val="clear" w:color="auto" w:fill="auto"/>
                <w:lang w:val="en-US" w:eastAsia="zh-CN" w:bidi="ar"/>
              </w:rPr>
              <w:t>6</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default" w:ascii="宋体" w:hAnsi="宋体" w:eastAsia="宋体" w:cs="宋体"/>
                <w:i w:val="0"/>
                <w:iCs w:val="0"/>
                <w:color w:val="auto"/>
                <w:kern w:val="0"/>
                <w:sz w:val="22"/>
                <w:szCs w:val="22"/>
                <w:u w:val="none"/>
                <w:shd w:val="clear" w:color="auto" w:fill="auto"/>
                <w:lang w:val="en-US" w:eastAsia="zh-CN" w:bidi="ar"/>
              </w:rPr>
            </w:pPr>
            <w:r>
              <w:rPr>
                <w:rFonts w:hint="eastAsia" w:cs="宋体"/>
                <w:i w:val="0"/>
                <w:iCs w:val="0"/>
                <w:color w:val="auto"/>
                <w:kern w:val="0"/>
                <w:sz w:val="22"/>
                <w:szCs w:val="22"/>
                <w:u w:val="none"/>
                <w:shd w:val="clear" w:color="auto" w:fill="auto"/>
                <w:lang w:val="en-US" w:eastAsia="zh-CN" w:bidi="ar"/>
              </w:rPr>
              <w:t>对讲机</w:t>
            </w:r>
          </w:p>
        </w:tc>
        <w:tc>
          <w:tcPr>
            <w:tcW w:w="4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tabs>
                <w:tab w:val="left" w:pos="0"/>
                <w:tab w:val="clear" w:pos="312"/>
              </w:tabs>
              <w:jc w:val="left"/>
              <w:textAlignment w:val="center"/>
              <w:rPr>
                <w:rStyle w:val="93"/>
                <w:rFonts w:hint="eastAsia" w:cs="宋体"/>
                <w:b w:val="0"/>
                <w:bCs w:val="0"/>
                <w:color w:val="auto"/>
                <w:sz w:val="22"/>
                <w:szCs w:val="22"/>
                <w:shd w:val="clear" w:color="auto" w:fill="auto"/>
                <w:lang w:val="en-US" w:eastAsia="zh-CN" w:bidi="ar"/>
              </w:rPr>
            </w:pPr>
            <w:r>
              <w:rPr>
                <w:rStyle w:val="93"/>
                <w:rFonts w:hint="eastAsia" w:cs="宋体"/>
                <w:b w:val="0"/>
                <w:bCs w:val="0"/>
                <w:color w:val="auto"/>
                <w:sz w:val="22"/>
                <w:szCs w:val="22"/>
                <w:shd w:val="clear" w:color="auto" w:fill="auto"/>
                <w:lang w:val="en-US" w:eastAsia="zh-CN" w:bidi="ar"/>
              </w:rPr>
              <w:t>产品尺寸：55x22.7x170mm</w:t>
            </w:r>
          </w:p>
          <w:p>
            <w:pPr>
              <w:keepNext w:val="0"/>
              <w:keepLines w:val="0"/>
              <w:widowControl/>
              <w:numPr>
                <w:ilvl w:val="0"/>
                <w:numId w:val="4"/>
              </w:numPr>
              <w:suppressLineNumbers w:val="0"/>
              <w:tabs>
                <w:tab w:val="left" w:pos="0"/>
                <w:tab w:val="clear" w:pos="312"/>
              </w:tabs>
              <w:jc w:val="left"/>
              <w:textAlignment w:val="center"/>
              <w:rPr>
                <w:rStyle w:val="93"/>
                <w:rFonts w:hint="default" w:cs="宋体"/>
                <w:b w:val="0"/>
                <w:bCs w:val="0"/>
                <w:color w:val="auto"/>
                <w:sz w:val="22"/>
                <w:szCs w:val="22"/>
                <w:shd w:val="clear" w:color="auto" w:fill="auto"/>
                <w:lang w:val="en-US" w:eastAsia="zh-CN" w:bidi="ar"/>
              </w:rPr>
            </w:pPr>
            <w:r>
              <w:rPr>
                <w:rStyle w:val="93"/>
                <w:rFonts w:hint="eastAsia" w:cs="宋体"/>
                <w:b w:val="0"/>
                <w:bCs w:val="0"/>
                <w:color w:val="auto"/>
                <w:sz w:val="22"/>
                <w:szCs w:val="22"/>
                <w:shd w:val="clear" w:color="auto" w:fill="auto"/>
                <w:lang w:val="en-US" w:eastAsia="zh-CN" w:bidi="ar"/>
              </w:rPr>
              <w:t>产品净重：139.5g</w:t>
            </w:r>
          </w:p>
          <w:p>
            <w:pPr>
              <w:keepNext w:val="0"/>
              <w:keepLines w:val="0"/>
              <w:widowControl/>
              <w:numPr>
                <w:ilvl w:val="0"/>
                <w:numId w:val="4"/>
              </w:numPr>
              <w:suppressLineNumbers w:val="0"/>
              <w:tabs>
                <w:tab w:val="left" w:pos="0"/>
                <w:tab w:val="clear" w:pos="312"/>
              </w:tabs>
              <w:jc w:val="left"/>
              <w:textAlignment w:val="center"/>
              <w:rPr>
                <w:rStyle w:val="93"/>
                <w:rFonts w:hint="default" w:cs="宋体"/>
                <w:b w:val="0"/>
                <w:bCs w:val="0"/>
                <w:color w:val="auto"/>
                <w:sz w:val="22"/>
                <w:szCs w:val="22"/>
                <w:shd w:val="clear" w:color="auto" w:fill="auto"/>
                <w:lang w:val="en-US" w:eastAsia="zh-CN" w:bidi="ar"/>
              </w:rPr>
            </w:pPr>
            <w:r>
              <w:rPr>
                <w:rStyle w:val="93"/>
                <w:rFonts w:hint="eastAsia" w:cs="宋体"/>
                <w:b w:val="0"/>
                <w:bCs w:val="0"/>
                <w:color w:val="auto"/>
                <w:sz w:val="22"/>
                <w:szCs w:val="22"/>
                <w:shd w:val="clear" w:color="auto" w:fill="auto"/>
                <w:lang w:val="en-US" w:eastAsia="zh-CN" w:bidi="ar"/>
              </w:rPr>
              <w:t>电池容量：2190mAh</w:t>
            </w:r>
          </w:p>
          <w:p>
            <w:pPr>
              <w:keepNext w:val="0"/>
              <w:keepLines w:val="0"/>
              <w:widowControl/>
              <w:numPr>
                <w:ilvl w:val="0"/>
                <w:numId w:val="4"/>
              </w:numPr>
              <w:suppressLineNumbers w:val="0"/>
              <w:tabs>
                <w:tab w:val="left" w:pos="0"/>
                <w:tab w:val="clear" w:pos="312"/>
              </w:tabs>
              <w:jc w:val="left"/>
              <w:textAlignment w:val="center"/>
              <w:rPr>
                <w:rStyle w:val="93"/>
                <w:rFonts w:hint="default" w:cs="宋体"/>
                <w:b w:val="0"/>
                <w:bCs w:val="0"/>
                <w:color w:val="auto"/>
                <w:sz w:val="22"/>
                <w:szCs w:val="22"/>
                <w:shd w:val="clear" w:color="auto" w:fill="auto"/>
                <w:lang w:val="en-US" w:eastAsia="zh-CN" w:bidi="ar"/>
              </w:rPr>
            </w:pPr>
            <w:r>
              <w:rPr>
                <w:rStyle w:val="93"/>
                <w:rFonts w:hint="eastAsia" w:cs="宋体"/>
                <w:b w:val="0"/>
                <w:bCs w:val="0"/>
                <w:color w:val="auto"/>
                <w:sz w:val="22"/>
                <w:szCs w:val="22"/>
                <w:shd w:val="clear" w:color="auto" w:fill="auto"/>
                <w:lang w:val="en-US" w:eastAsia="zh-CN" w:bidi="ar"/>
              </w:rPr>
              <w:t>电池电压：3.8v</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default" w:ascii="宋体" w:hAnsi="宋体" w:eastAsia="宋体" w:cs="宋体"/>
                <w:i w:val="0"/>
                <w:iCs w:val="0"/>
                <w:color w:val="auto"/>
                <w:kern w:val="0"/>
                <w:sz w:val="22"/>
                <w:szCs w:val="22"/>
                <w:u w:val="none"/>
                <w:shd w:val="clear" w:color="auto" w:fill="auto"/>
                <w:lang w:val="en-US" w:eastAsia="zh-CN" w:bidi="ar"/>
              </w:rPr>
            </w:pPr>
            <w:r>
              <w:rPr>
                <w:rFonts w:hint="eastAsia" w:cs="宋体"/>
                <w:i w:val="0"/>
                <w:iCs w:val="0"/>
                <w:color w:val="auto"/>
                <w:kern w:val="0"/>
                <w:sz w:val="22"/>
                <w:szCs w:val="22"/>
                <w:u w:val="none"/>
                <w:shd w:val="clear" w:color="auto" w:fill="auto"/>
                <w:lang w:val="en-US" w:eastAsia="zh-CN" w:bidi="ar"/>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default" w:ascii="宋体" w:hAnsi="宋体" w:eastAsia="宋体" w:cs="宋体"/>
                <w:b w:val="0"/>
                <w:bCs w:val="0"/>
                <w:i w:val="0"/>
                <w:iCs w:val="0"/>
                <w:color w:val="auto"/>
                <w:kern w:val="0"/>
                <w:sz w:val="22"/>
                <w:szCs w:val="22"/>
                <w:u w:val="none"/>
                <w:shd w:val="clear" w:color="auto" w:fill="auto"/>
                <w:lang w:val="en-US" w:eastAsia="zh-CN" w:bidi="ar"/>
              </w:rPr>
            </w:pPr>
            <w:r>
              <w:rPr>
                <w:rFonts w:hint="eastAsia" w:cs="宋体"/>
                <w:b w:val="0"/>
                <w:bCs w:val="0"/>
                <w:i w:val="0"/>
                <w:iCs w:val="0"/>
                <w:color w:val="auto"/>
                <w:kern w:val="0"/>
                <w:sz w:val="22"/>
                <w:szCs w:val="22"/>
                <w:u w:val="none"/>
                <w:shd w:val="clear" w:color="auto" w:fill="auto"/>
                <w:lang w:val="en-US" w:eastAsia="zh-CN" w:bidi="ar"/>
              </w:rPr>
              <w:t>7</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val="0"/>
                <w:bCs w:val="0"/>
                <w:i w:val="0"/>
                <w:iCs w:val="0"/>
                <w:color w:val="auto"/>
                <w:kern w:val="0"/>
                <w:sz w:val="22"/>
                <w:szCs w:val="22"/>
                <w:u w:val="none"/>
                <w:shd w:val="clear" w:color="auto" w:fill="auto"/>
                <w:lang w:val="en-US" w:eastAsia="zh-CN" w:bidi="ar"/>
              </w:rPr>
            </w:pPr>
            <w:r>
              <w:rPr>
                <w:rFonts w:hint="eastAsia" w:ascii="宋体" w:hAnsi="宋体" w:eastAsia="宋体" w:cs="宋体"/>
                <w:b w:val="0"/>
                <w:bCs w:val="0"/>
                <w:i w:val="0"/>
                <w:iCs w:val="0"/>
                <w:color w:val="auto"/>
                <w:kern w:val="0"/>
                <w:sz w:val="22"/>
                <w:szCs w:val="22"/>
                <w:u w:val="none"/>
                <w:shd w:val="clear" w:color="auto" w:fill="auto"/>
                <w:lang w:val="en-US" w:eastAsia="zh-CN" w:bidi="ar"/>
              </w:rPr>
              <w:t>辅材及安装调试</w:t>
            </w:r>
          </w:p>
        </w:tc>
        <w:tc>
          <w:tcPr>
            <w:tcW w:w="4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left"/>
              <w:textAlignment w:val="center"/>
              <w:rPr>
                <w:rFonts w:hint="eastAsia" w:ascii="宋体" w:hAnsi="宋体" w:eastAsia="宋体" w:cs="宋体"/>
                <w:b w:val="0"/>
                <w:bCs w:val="0"/>
                <w:i w:val="0"/>
                <w:iCs w:val="0"/>
                <w:color w:val="auto"/>
                <w:kern w:val="0"/>
                <w:sz w:val="22"/>
                <w:szCs w:val="22"/>
                <w:u w:val="none"/>
                <w:shd w:val="clear" w:color="auto" w:fill="auto"/>
                <w:lang w:val="en-US" w:eastAsia="zh-CN" w:bidi="ar"/>
              </w:rPr>
            </w:pPr>
            <w:r>
              <w:rPr>
                <w:rFonts w:hint="eastAsia" w:ascii="宋体" w:hAnsi="宋体" w:eastAsia="宋体" w:cs="宋体"/>
                <w:b w:val="0"/>
                <w:bCs w:val="0"/>
                <w:i w:val="0"/>
                <w:iCs w:val="0"/>
                <w:color w:val="auto"/>
                <w:kern w:val="0"/>
                <w:sz w:val="22"/>
                <w:szCs w:val="22"/>
                <w:u w:val="none"/>
                <w:shd w:val="clear" w:color="auto" w:fill="auto"/>
                <w:lang w:val="en-US" w:eastAsia="zh-CN" w:bidi="ar"/>
              </w:rPr>
              <w:t>5米信号线、10米馈线、航空箱等辅材及设备的安装调试工作</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default"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1项</w:t>
            </w:r>
          </w:p>
        </w:tc>
      </w:tr>
    </w:tbl>
    <w:p>
      <w:pPr>
        <w:jc w:val="center"/>
        <w:rPr>
          <w:color w:val="auto"/>
        </w:rPr>
      </w:pPr>
    </w:p>
    <w:p>
      <w:pPr>
        <w:pStyle w:val="2"/>
        <w:rPr>
          <w:rFonts w:hint="eastAsia"/>
          <w:color w:val="auto"/>
        </w:rPr>
      </w:pPr>
    </w:p>
    <w:p>
      <w:pPr>
        <w:widowControl/>
        <w:ind w:firstLine="482" w:firstLineChars="200"/>
        <w:jc w:val="left"/>
        <w:rPr>
          <w:rFonts w:hint="eastAsia" w:ascii="宋体" w:hAnsi="宋体" w:cs="宋体"/>
          <w:b/>
          <w:color w:val="auto"/>
          <w:kern w:val="0"/>
          <w:sz w:val="24"/>
          <w:lang w:bidi="ar"/>
        </w:rPr>
      </w:pPr>
    </w:p>
    <w:p>
      <w:pPr>
        <w:widowControl/>
        <w:ind w:firstLine="482" w:firstLineChars="200"/>
        <w:jc w:val="left"/>
        <w:rPr>
          <w:color w:val="auto"/>
        </w:rPr>
      </w:pPr>
      <w:r>
        <w:rPr>
          <w:rFonts w:hint="eastAsia" w:ascii="宋体" w:hAnsi="宋体" w:cs="宋体"/>
          <w:b/>
          <w:color w:val="auto"/>
          <w:kern w:val="0"/>
          <w:sz w:val="24"/>
          <w:lang w:bidi="ar"/>
        </w:rPr>
        <w:t xml:space="preserve">四、项目报价要求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1、本项目投标报价是履行合同的最终价格，应包括供应商完成本项目所需的一 </w:t>
      </w:r>
    </w:p>
    <w:p>
      <w:pPr>
        <w:adjustRightInd w:val="0"/>
        <w:snapToGrid w:val="0"/>
        <w:spacing w:line="360" w:lineRule="auto"/>
        <w:rPr>
          <w:rFonts w:hint="eastAsia" w:ascii="Arial" w:hAnsi="Arial" w:cs="仿宋"/>
          <w:color w:val="auto"/>
          <w:kern w:val="0"/>
          <w:sz w:val="24"/>
        </w:rPr>
      </w:pPr>
      <w:r>
        <w:rPr>
          <w:rFonts w:hint="eastAsia" w:ascii="Arial" w:hAnsi="Arial" w:cs="仿宋"/>
          <w:color w:val="auto"/>
          <w:kern w:val="0"/>
          <w:sz w:val="24"/>
        </w:rPr>
        <w:t>切费用</w:t>
      </w:r>
      <w:r>
        <w:rPr>
          <w:rFonts w:hint="eastAsia" w:ascii="Arial" w:hAnsi="Arial" w:cs="仿宋"/>
          <w:color w:val="auto"/>
          <w:kern w:val="0"/>
          <w:sz w:val="24"/>
          <w:lang w:eastAsia="zh-CN"/>
        </w:rPr>
        <w:t>（现场需供应商自行实地考察）</w:t>
      </w:r>
      <w:r>
        <w:rPr>
          <w:rFonts w:hint="eastAsia" w:ascii="Arial" w:hAnsi="Arial" w:cs="仿宋"/>
          <w:color w:val="auto"/>
          <w:kern w:val="0"/>
          <w:sz w:val="24"/>
        </w:rPr>
        <w:t xml:space="preserve">，采购人不再支付任何费用；投标报价估算错误等引起的风险由投标人自行承担。 </w:t>
      </w:r>
    </w:p>
    <w:p>
      <w:pPr>
        <w:adjustRightInd w:val="0"/>
        <w:snapToGrid w:val="0"/>
        <w:spacing w:line="360" w:lineRule="auto"/>
        <w:ind w:firstLine="480" w:firstLineChars="200"/>
        <w:rPr>
          <w:color w:val="auto"/>
        </w:rPr>
      </w:pPr>
      <w:r>
        <w:rPr>
          <w:rFonts w:hint="eastAsia" w:ascii="Arial" w:hAnsi="Arial" w:cs="仿宋"/>
          <w:color w:val="auto"/>
          <w:kern w:val="0"/>
          <w:sz w:val="24"/>
        </w:rPr>
        <w:t>2、预算控制价金额</w:t>
      </w:r>
      <w:r>
        <w:rPr>
          <w:rFonts w:hint="eastAsia" w:ascii="Arial" w:hAnsi="Arial" w:cs="仿宋"/>
          <w:color w:val="auto"/>
          <w:kern w:val="0"/>
          <w:sz w:val="24"/>
          <w:lang w:val="en-US" w:eastAsia="zh-CN"/>
        </w:rPr>
        <w:t>98360.00</w:t>
      </w:r>
      <w:r>
        <w:rPr>
          <w:rFonts w:hint="eastAsia" w:ascii="Arial" w:hAnsi="Arial" w:cs="仿宋"/>
          <w:color w:val="auto"/>
          <w:kern w:val="0"/>
          <w:sz w:val="24"/>
        </w:rPr>
        <w:t>元，供应商报价需符合预算控制价要求，超出预算控制价的报价为无效投标。</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 xml:space="preserve">1、本项目需要供应商将产品送至采购人指定地点并按照采购人要求进行安装、调试。（供应商须提供承诺函原件并加盖鲜章）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投标人的服务承诺应按不低于招标文件中提出的所有服务要求的标准做出响应。 </w:t>
      </w:r>
    </w:p>
    <w:p>
      <w:pPr>
        <w:adjustRightInd w:val="0"/>
        <w:snapToGrid w:val="0"/>
        <w:spacing w:line="360" w:lineRule="auto"/>
        <w:rPr>
          <w:rFonts w:hint="eastAsia" w:ascii="Arial" w:hAnsi="Arial" w:cs="仿宋"/>
          <w:color w:val="auto"/>
          <w:kern w:val="0"/>
          <w:sz w:val="24"/>
        </w:rPr>
      </w:pPr>
      <w:r>
        <w:rPr>
          <w:rFonts w:hint="eastAsia" w:ascii="Arial" w:hAnsi="Arial" w:cs="仿宋"/>
          <w:color w:val="auto"/>
          <w:kern w:val="0"/>
          <w:sz w:val="24"/>
        </w:rPr>
        <w:t xml:space="preserve">其基本服务要求如下：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质保期内，严格按国家三包法要求完成售后服务。 </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投标文件及投标人承诺的质量、技术和其他要求，符合国家相关的质量标准和出 </w:t>
      </w:r>
    </w:p>
    <w:p>
      <w:pPr>
        <w:adjustRightInd w:val="0"/>
        <w:snapToGrid w:val="0"/>
        <w:spacing w:line="360" w:lineRule="auto"/>
        <w:rPr>
          <w:rFonts w:hint="eastAsia" w:ascii="Arial" w:hAnsi="Arial" w:cs="仿宋"/>
          <w:color w:val="auto"/>
          <w:kern w:val="0"/>
          <w:sz w:val="24"/>
        </w:rPr>
      </w:pPr>
      <w:r>
        <w:rPr>
          <w:rFonts w:hint="eastAsia" w:ascii="Arial" w:hAnsi="Arial" w:cs="仿宋"/>
          <w:color w:val="auto"/>
          <w:kern w:val="0"/>
          <w:sz w:val="24"/>
        </w:rPr>
        <w:t xml:space="preserve">厂标准。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质保期：投标人对提供的货物提供质保期为验收合格后所有产品质保期 </w:t>
      </w:r>
      <w:r>
        <w:rPr>
          <w:rFonts w:hint="eastAsia" w:ascii="Arial" w:hAnsi="Arial" w:cs="仿宋"/>
          <w:color w:val="auto"/>
          <w:kern w:val="0"/>
          <w:sz w:val="24"/>
          <w:lang w:val="en-US" w:eastAsia="zh-CN"/>
        </w:rPr>
        <w:t>2</w:t>
      </w:r>
      <w:r>
        <w:rPr>
          <w:rFonts w:hint="eastAsia" w:ascii="Arial" w:hAnsi="Arial" w:cs="仿宋"/>
          <w:color w:val="auto"/>
          <w:kern w:val="0"/>
          <w:sz w:val="24"/>
        </w:rPr>
        <w:t xml:space="preserve">年，质 </w:t>
      </w:r>
    </w:p>
    <w:p>
      <w:pPr>
        <w:adjustRightInd w:val="0"/>
        <w:snapToGrid w:val="0"/>
        <w:spacing w:line="360" w:lineRule="auto"/>
        <w:rPr>
          <w:color w:val="auto"/>
        </w:rPr>
      </w:pPr>
      <w:r>
        <w:rPr>
          <w:rFonts w:hint="eastAsia" w:ascii="Arial" w:hAnsi="Arial" w:cs="仿宋"/>
          <w:color w:val="auto"/>
          <w:kern w:val="0"/>
          <w:sz w:val="24"/>
        </w:rPr>
        <w:t xml:space="preserve">保期内出现质量问题，中标供应商在接到通知后 </w:t>
      </w:r>
      <w:r>
        <w:rPr>
          <w:rFonts w:hint="eastAsia" w:ascii="Arial" w:hAnsi="Arial" w:cs="仿宋"/>
          <w:color w:val="auto"/>
          <w:kern w:val="0"/>
          <w:sz w:val="24"/>
          <w:lang w:val="en-US" w:eastAsia="zh-CN"/>
        </w:rPr>
        <w:t>12</w:t>
      </w:r>
      <w:r>
        <w:rPr>
          <w:rFonts w:hint="eastAsia" w:ascii="Arial" w:hAnsi="Arial" w:cs="仿宋"/>
          <w:color w:val="auto"/>
          <w:kern w:val="0"/>
          <w:sz w:val="24"/>
        </w:rPr>
        <w:t xml:space="preserve"> 小时内响应到场，2 天内完成维修或更换，并承担修理调换的费用；如货物经中标人对货物同一故障 3 次维修仍不能达到相关技术质量标准，采购人有权退换货并追究中标供应商的相关责任。提供产品</w:t>
      </w:r>
      <w:r>
        <w:rPr>
          <w:rFonts w:hint="eastAsia" w:ascii="Arial" w:hAnsi="Arial" w:cs="仿宋"/>
          <w:color w:val="auto"/>
          <w:kern w:val="0"/>
          <w:sz w:val="24"/>
          <w:lang w:val="en-US" w:eastAsia="zh-CN"/>
        </w:rPr>
        <w:t>两</w:t>
      </w:r>
      <w:r>
        <w:rPr>
          <w:rFonts w:hint="eastAsia" w:ascii="Arial" w:hAnsi="Arial" w:cs="仿宋"/>
          <w:color w:val="auto"/>
          <w:kern w:val="0"/>
          <w:sz w:val="24"/>
        </w:rPr>
        <w:t>年质保期承诺函原件加盖投标人鲜章，否则为无效投标。</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auto"/>
          <w:kern w:val="0"/>
          <w:sz w:val="24"/>
          <w:lang w:eastAsia="zh-CN"/>
        </w:rPr>
        <w:t>合同签订生效后</w:t>
      </w:r>
      <w:r>
        <w:rPr>
          <w:rFonts w:hint="eastAsia" w:ascii="Arial" w:hAnsi="Arial" w:cs="仿宋"/>
          <w:color w:val="auto"/>
          <w:kern w:val="0"/>
          <w:sz w:val="24"/>
          <w:lang w:val="en-US" w:eastAsia="zh-CN"/>
        </w:rPr>
        <w:t>30日内完成并安装</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采购人与成交供应商应严格按照《财政部关于进一步加强政府采购需求和履约验 </w:t>
      </w:r>
    </w:p>
    <w:p>
      <w:pPr>
        <w:adjustRightInd w:val="0"/>
        <w:snapToGrid w:val="0"/>
        <w:spacing w:line="360" w:lineRule="auto"/>
        <w:rPr>
          <w:rFonts w:hint="eastAsia" w:ascii="Arial" w:hAnsi="Arial" w:cs="仿宋"/>
          <w:color w:val="auto"/>
          <w:kern w:val="0"/>
          <w:sz w:val="24"/>
        </w:rPr>
      </w:pPr>
      <w:r>
        <w:rPr>
          <w:rFonts w:hint="eastAsia" w:ascii="Arial" w:hAnsi="Arial" w:cs="仿宋"/>
          <w:color w:val="auto"/>
          <w:kern w:val="0"/>
          <w:sz w:val="24"/>
        </w:rPr>
        <w:t>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 xml:space="preserve">文件规定的要求和投 </w:t>
      </w:r>
    </w:p>
    <w:p>
      <w:pPr>
        <w:adjustRightInd w:val="0"/>
        <w:snapToGrid w:val="0"/>
        <w:spacing w:line="360" w:lineRule="auto"/>
        <w:rPr>
          <w:color w:val="auto"/>
        </w:rPr>
      </w:pPr>
      <w:r>
        <w:rPr>
          <w:rFonts w:hint="eastAsia" w:ascii="Arial" w:hAnsi="Arial" w:cs="仿宋"/>
          <w:color w:val="auto"/>
          <w:kern w:val="0"/>
          <w:sz w:val="24"/>
        </w:rPr>
        <w:t>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 xml:space="preserve">文件要求、招标承诺的原则下， </w:t>
      </w:r>
    </w:p>
    <w:p>
      <w:pPr>
        <w:adjustRightInd w:val="0"/>
        <w:snapToGrid w:val="0"/>
        <w:spacing w:line="360" w:lineRule="auto"/>
        <w:rPr>
          <w:color w:val="auto"/>
        </w:rPr>
      </w:pPr>
      <w:r>
        <w:rPr>
          <w:rFonts w:hint="eastAsia" w:ascii="Arial" w:hAnsi="Arial" w:cs="仿宋"/>
          <w:color w:val="auto"/>
          <w:kern w:val="0"/>
          <w:sz w:val="24"/>
        </w:rPr>
        <w:t>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bookmarkStart w:id="3" w:name="_Hlk117497162"/>
      <w:r>
        <w:rPr>
          <w:rFonts w:hint="eastAsia" w:ascii="Arial" w:hAnsi="Arial" w:cs="仿宋"/>
          <w:color w:val="auto"/>
          <w:kern w:val="0"/>
          <w:sz w:val="24"/>
        </w:rPr>
        <w:t>1、签订合同前，乙方向甲方交纳合同总价款的</w:t>
      </w:r>
      <w:r>
        <w:rPr>
          <w:rFonts w:hint="eastAsia" w:ascii="Arial" w:hAnsi="Arial" w:cs="仿宋"/>
          <w:color w:val="auto"/>
          <w:kern w:val="0"/>
          <w:sz w:val="24"/>
          <w:lang w:val="en-US" w:eastAsia="zh-CN"/>
        </w:rPr>
        <w:t>10</w:t>
      </w:r>
      <w:r>
        <w:rPr>
          <w:rFonts w:hint="eastAsia" w:ascii="Arial" w:hAnsi="Arial" w:cs="仿宋"/>
          <w:color w:val="auto"/>
          <w:kern w:val="0"/>
          <w:sz w:val="24"/>
        </w:rPr>
        <w:t xml:space="preserve">%作为履约保证金。项目验收后 </w:t>
      </w:r>
    </w:p>
    <w:p>
      <w:pPr>
        <w:adjustRightInd w:val="0"/>
        <w:snapToGrid w:val="0"/>
        <w:spacing w:line="360" w:lineRule="auto"/>
        <w:rPr>
          <w:rFonts w:hint="eastAsia" w:ascii="Arial" w:hAnsi="Arial" w:cs="仿宋"/>
          <w:color w:val="auto"/>
          <w:kern w:val="0"/>
          <w:sz w:val="24"/>
        </w:rPr>
      </w:pPr>
      <w:bookmarkStart w:id="4" w:name="_Hlk117497134"/>
      <w:r>
        <w:rPr>
          <w:rFonts w:hint="eastAsia" w:ascii="Arial" w:hAnsi="Arial" w:cs="仿宋"/>
          <w:color w:val="auto"/>
          <w:kern w:val="0"/>
          <w:sz w:val="24"/>
        </w:rPr>
        <w:t>履约保证作为质保金，</w:t>
      </w:r>
      <w:r>
        <w:rPr>
          <w:rFonts w:hint="eastAsia" w:ascii="Arial" w:hAnsi="Arial" w:cs="仿宋"/>
          <w:color w:val="auto"/>
          <w:kern w:val="0"/>
          <w:sz w:val="24"/>
          <w:lang w:val="en-US" w:eastAsia="zh-CN"/>
        </w:rPr>
        <w:t>质保期满</w:t>
      </w:r>
      <w:r>
        <w:rPr>
          <w:rFonts w:hint="eastAsia" w:ascii="Arial" w:hAnsi="Arial" w:cs="仿宋"/>
          <w:color w:val="auto"/>
          <w:kern w:val="0"/>
          <w:sz w:val="24"/>
        </w:rPr>
        <w:t>无息支付给乙方</w:t>
      </w:r>
      <w:bookmarkEnd w:id="4"/>
      <w:r>
        <w:rPr>
          <w:rFonts w:hint="eastAsia" w:ascii="Arial" w:hAnsi="Arial" w:cs="仿宋"/>
          <w:color w:val="auto"/>
          <w:kern w:val="0"/>
          <w:sz w:val="24"/>
        </w:rPr>
        <w:t>。</w:t>
      </w:r>
      <w:bookmarkEnd w:id="3"/>
      <w:r>
        <w:rPr>
          <w:rFonts w:hint="eastAsia" w:ascii="Arial" w:hAnsi="Arial" w:cs="仿宋"/>
          <w:color w:val="auto"/>
          <w:kern w:val="0"/>
          <w:sz w:val="24"/>
        </w:rPr>
        <w:t xml:space="preserve">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2、全部货物交付完毕且验收合格之日起，甲方接到乙方通知与票据凭证资料以后 </w:t>
      </w:r>
      <w:r>
        <w:rPr>
          <w:rFonts w:hint="eastAsia" w:ascii="Arial" w:hAnsi="Arial" w:cs="仿宋"/>
          <w:color w:val="auto"/>
          <w:kern w:val="0"/>
          <w:sz w:val="24"/>
          <w:lang w:val="en-US" w:eastAsia="zh-CN"/>
        </w:rPr>
        <w:t>15</w:t>
      </w:r>
      <w:r>
        <w:rPr>
          <w:rFonts w:hint="eastAsia" w:ascii="Arial" w:hAnsi="Arial" w:cs="仿宋"/>
          <w:color w:val="auto"/>
          <w:kern w:val="0"/>
          <w:sz w:val="24"/>
        </w:rPr>
        <w:t xml:space="preserve"> 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rPr>
        <w:t>3、乙方须向甲方出具合法有效完整的完税发票及凭证资料进行支付结算。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64"/>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64"/>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64"/>
        <w:ind w:firstLine="600" w:firstLineChars="250"/>
        <w:rPr>
          <w:rFonts w:hint="eastAsia" w:ascii="宋体" w:hAnsi="宋体"/>
          <w:color w:val="auto"/>
          <w:sz w:val="24"/>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64"/>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64"/>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64"/>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报名时间为：20</w:t>
      </w:r>
      <w:r>
        <w:rPr>
          <w:rFonts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01</w:t>
      </w:r>
      <w:r>
        <w:rPr>
          <w:rFonts w:hint="eastAsia" w:ascii="宋体" w:hAnsi="宋体"/>
          <w:color w:val="auto"/>
          <w:sz w:val="24"/>
        </w:rPr>
        <w:t>日到202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05</w:t>
      </w:r>
      <w:r>
        <w:rPr>
          <w:rFonts w:hint="eastAsia" w:ascii="宋体" w:hAnsi="宋体"/>
          <w:color w:val="auto"/>
          <w:sz w:val="24"/>
        </w:rPr>
        <w:t>日，每日09：00到17：00</w:t>
      </w:r>
      <w:r>
        <w:rPr>
          <w:rFonts w:hint="eastAsia" w:ascii="宋体" w:hAnsi="宋体"/>
          <w:color w:val="auto"/>
          <w:sz w:val="24"/>
          <w:lang w:eastAsia="zh-CN"/>
        </w:rPr>
        <w:t>前</w:t>
      </w:r>
      <w:r>
        <w:rPr>
          <w:rFonts w:hint="eastAsia" w:hAnsi="宋体" w:cs="宋体"/>
          <w:color w:val="auto"/>
          <w:sz w:val="24"/>
          <w:szCs w:val="24"/>
        </w:rPr>
        <w:t>在网上获取</w:t>
      </w:r>
      <w:r>
        <w:rPr>
          <w:rFonts w:hint="eastAsia" w:ascii="宋体" w:hAnsi="宋体"/>
          <w:color w:val="auto"/>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获取方式：网上办理：(1)请供应商先自行下载公告附件中的《报名信息登记表》，并按相关要求填写信息(单位名称、经办人姓名、经办人手机号、单位座机及传真号、电子邮箱、包号等)。（2）将已填写的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11</w:t>
      </w:r>
      <w:r>
        <w:rPr>
          <w:rFonts w:hint="eastAsia" w:ascii="宋体" w:hAnsi="宋体"/>
          <w:bCs/>
          <w:color w:val="auto"/>
          <w:sz w:val="24"/>
        </w:rPr>
        <w:t>月</w:t>
      </w:r>
      <w:r>
        <w:rPr>
          <w:rFonts w:hint="eastAsia" w:ascii="宋体" w:hAnsi="宋体"/>
          <w:bCs/>
          <w:color w:val="auto"/>
          <w:sz w:val="24"/>
          <w:lang w:val="en-US" w:eastAsia="zh-CN"/>
        </w:rPr>
        <w:t>07</w:t>
      </w:r>
      <w:r>
        <w:rPr>
          <w:rFonts w:hint="eastAsia" w:ascii="宋体" w:hAnsi="宋体"/>
          <w:bCs/>
          <w:color w:val="auto"/>
          <w:sz w:val="24"/>
        </w:rPr>
        <w:t>日1</w:t>
      </w:r>
      <w:r>
        <w:rPr>
          <w:rFonts w:hint="eastAsia" w:ascii="宋体" w:hAnsi="宋体"/>
          <w:bCs/>
          <w:color w:val="auto"/>
          <w:sz w:val="24"/>
          <w:lang w:val="en-US" w:eastAsia="zh-CN"/>
        </w:rPr>
        <w:t>0</w:t>
      </w:r>
      <w:r>
        <w:rPr>
          <w:rFonts w:hint="eastAsia" w:ascii="宋体" w:hAnsi="宋体"/>
          <w:bCs/>
          <w:color w:val="auto"/>
          <w:sz w:val="24"/>
        </w:rPr>
        <w:t xml:space="preserve">时 </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11</w:t>
      </w:r>
      <w:r>
        <w:rPr>
          <w:rFonts w:hint="eastAsia" w:ascii="宋体" w:hAnsi="宋体"/>
          <w:bCs/>
          <w:color w:val="auto"/>
          <w:sz w:val="24"/>
        </w:rPr>
        <w:t>月</w:t>
      </w:r>
      <w:r>
        <w:rPr>
          <w:rFonts w:hint="eastAsia" w:ascii="宋体" w:hAnsi="宋体"/>
          <w:bCs/>
          <w:color w:val="auto"/>
          <w:sz w:val="24"/>
          <w:lang w:val="en-US" w:eastAsia="zh-CN"/>
        </w:rPr>
        <w:t>07</w:t>
      </w:r>
      <w:r>
        <w:rPr>
          <w:rFonts w:hint="eastAsia" w:ascii="宋体" w:hAnsi="宋体"/>
          <w:bCs/>
          <w:color w:val="auto"/>
          <w:sz w:val="24"/>
        </w:rPr>
        <w:t>日10时</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pStyle w:val="64"/>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3"/>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64"/>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64"/>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eastAsia="zh-CN"/>
        </w:rPr>
        <w:t>白</w:t>
      </w:r>
      <w:r>
        <w:rPr>
          <w:rFonts w:hint="eastAsia" w:ascii="Arial" w:hAnsi="Arial"/>
          <w:color w:val="auto"/>
          <w:sz w:val="24"/>
        </w:rPr>
        <w:t>老师</w:t>
      </w:r>
    </w:p>
    <w:p>
      <w:pPr>
        <w:pStyle w:val="64"/>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5" w:name="_Toc213397009"/>
      <w:bookmarkStart w:id="6" w:name="_Toc213396945"/>
      <w:bookmarkStart w:id="7" w:name="_Toc213396759"/>
      <w:bookmarkStart w:id="8" w:name="_Toc217446031"/>
      <w:bookmarkStart w:id="9" w:name="_Toc508697771"/>
      <w:bookmarkStart w:id="10" w:name="_Toc508697732"/>
      <w:bookmarkStart w:id="11" w:name="_Toc213496267"/>
    </w:p>
    <w:p>
      <w:pPr>
        <w:pStyle w:val="64"/>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rPr>
        <w:t>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10</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2" w:name="_Toc12168"/>
      <w:bookmarkStart w:id="13" w:name="_Toc60142197"/>
      <w:bookmarkStart w:id="14" w:name="_Toc27398"/>
      <w:bookmarkStart w:id="15" w:name="_Toc515536911"/>
      <w:r>
        <w:rPr>
          <w:rFonts w:hint="eastAsia" w:ascii="Times New Roman" w:hAnsi="Times New Roman" w:eastAsia="宋体" w:cs="Times New Roman"/>
          <w:b/>
          <w:bCs/>
          <w:color w:val="auto"/>
          <w:kern w:val="44"/>
          <w:sz w:val="36"/>
          <w:szCs w:val="44"/>
          <w:lang w:val="en-US" w:eastAsia="zh-CN" w:bidi="ar-SA"/>
        </w:rPr>
        <w:t>第二章  询价须知</w:t>
      </w:r>
      <w:bookmarkEnd w:id="5"/>
      <w:bookmarkEnd w:id="6"/>
      <w:bookmarkEnd w:id="7"/>
      <w:bookmarkEnd w:id="8"/>
      <w:bookmarkEnd w:id="9"/>
      <w:bookmarkEnd w:id="10"/>
      <w:bookmarkEnd w:id="11"/>
      <w:bookmarkEnd w:id="12"/>
      <w:bookmarkEnd w:id="13"/>
      <w:bookmarkEnd w:id="14"/>
      <w:bookmarkEnd w:id="15"/>
    </w:p>
    <w:p>
      <w:pPr>
        <w:spacing w:after="96" w:afterLines="40"/>
        <w:ind w:firstLine="465"/>
        <w:textAlignment w:val="baseline"/>
        <w:rPr>
          <w:rFonts w:ascii="等线" w:hAnsi="等线" w:eastAsia="等线" w:cs="等线"/>
          <w:color w:val="auto"/>
          <w:sz w:val="24"/>
        </w:rPr>
      </w:pPr>
      <w:bookmarkStart w:id="16" w:name="_Toc26829"/>
      <w:bookmarkStart w:id="17" w:name="_Toc515536912"/>
      <w:bookmarkStart w:id="18" w:name="_Toc10953"/>
      <w:bookmarkStart w:id="19" w:name="_Toc183682368"/>
      <w:bookmarkStart w:id="20" w:name="_Toc77400782"/>
      <w:bookmarkStart w:id="21" w:name="_Toc89075878"/>
      <w:bookmarkStart w:id="22" w:name="_Toc217446056"/>
      <w:bookmarkStart w:id="23" w:name="_Toc183582231"/>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3"/>
        <w:rPr>
          <w:color w:val="auto"/>
        </w:rPr>
      </w:pPr>
      <w:r>
        <w:rPr>
          <w:rFonts w:ascii="宋体" w:hAnsi="宋体" w:cs="宋体"/>
          <w:color w:val="auto"/>
          <w:sz w:val="24"/>
        </w:rPr>
        <w:br w:type="page"/>
      </w:r>
      <w:bookmarkStart w:id="24" w:name="_Toc60142198"/>
      <w:r>
        <w:rPr>
          <w:rFonts w:hint="eastAsia"/>
          <w:color w:val="auto"/>
        </w:rPr>
        <w:t>第三章  评选程序</w:t>
      </w:r>
      <w:bookmarkEnd w:id="24"/>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3"/>
        <w:spacing w:line="276" w:lineRule="auto"/>
        <w:rPr>
          <w:color w:val="auto"/>
        </w:rPr>
      </w:pPr>
    </w:p>
    <w:p>
      <w:pPr>
        <w:pStyle w:val="3"/>
        <w:rPr>
          <w:rFonts w:hint="eastAsia"/>
          <w:color w:val="auto"/>
        </w:rPr>
      </w:pPr>
      <w:r>
        <w:rPr>
          <w:color w:val="auto"/>
        </w:rPr>
        <w:br w:type="page"/>
      </w:r>
      <w:bookmarkStart w:id="25" w:name="_Toc60142199"/>
      <w:r>
        <w:rPr>
          <w:rFonts w:hint="eastAsia"/>
          <w:color w:val="auto"/>
        </w:rPr>
        <w:t>第四章 供应商资格条件要求</w:t>
      </w:r>
      <w:bookmarkEnd w:id="16"/>
      <w:bookmarkEnd w:id="17"/>
      <w:bookmarkEnd w:id="18"/>
      <w:bookmarkEnd w:id="25"/>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64"/>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64"/>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64"/>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64"/>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64"/>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64"/>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6" w:name="_Toc4504"/>
      <w:bookmarkStart w:id="27" w:name="_Toc6181"/>
      <w:bookmarkStart w:id="28" w:name="_Toc515536913"/>
      <w:bookmarkStart w:id="29" w:name="_Toc60142200"/>
      <w:r>
        <w:rPr>
          <w:rFonts w:hint="eastAsia" w:ascii="宋体" w:hAnsi="宋体"/>
          <w:b/>
          <w:color w:val="auto"/>
          <w:sz w:val="32"/>
          <w:szCs w:val="32"/>
        </w:rPr>
        <w:t>第五章  供应商资格证明材料</w:t>
      </w:r>
      <w:bookmarkEnd w:id="26"/>
      <w:bookmarkEnd w:id="27"/>
      <w:bookmarkEnd w:id="28"/>
      <w:bookmarkEnd w:id="29"/>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2"/>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2"/>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3"/>
        <w:rPr>
          <w:rFonts w:hint="eastAsia"/>
          <w:color w:val="auto"/>
        </w:rPr>
      </w:pPr>
      <w:r>
        <w:rPr>
          <w:color w:val="auto"/>
          <w:sz w:val="32"/>
          <w:szCs w:val="32"/>
        </w:rPr>
        <w:br w:type="page"/>
      </w:r>
      <w:bookmarkStart w:id="30" w:name="_Toc515536914"/>
      <w:bookmarkStart w:id="31" w:name="_Toc355"/>
      <w:bookmarkStart w:id="32" w:name="_Toc13763"/>
      <w:bookmarkStart w:id="33" w:name="_Toc60142201"/>
      <w:r>
        <w:rPr>
          <w:rFonts w:hint="eastAsia"/>
          <w:color w:val="auto"/>
          <w:szCs w:val="36"/>
        </w:rPr>
        <w:t xml:space="preserve">第六章  </w:t>
      </w:r>
      <w:bookmarkEnd w:id="19"/>
      <w:bookmarkEnd w:id="20"/>
      <w:bookmarkEnd w:id="21"/>
      <w:bookmarkEnd w:id="22"/>
      <w:bookmarkEnd w:id="23"/>
      <w:bookmarkEnd w:id="30"/>
      <w:bookmarkEnd w:id="31"/>
      <w:bookmarkEnd w:id="32"/>
      <w:bookmarkStart w:id="34" w:name="_Toc515536917"/>
      <w:bookmarkStart w:id="35" w:name="_Toc16063"/>
      <w:bookmarkStart w:id="36" w:name="_Toc19941"/>
      <w:bookmarkStart w:id="37" w:name="_Toc217446057"/>
      <w:bookmarkStart w:id="38" w:name="_Toc183682369"/>
      <w:bookmarkStart w:id="39" w:name="_Toc183582232"/>
      <w:r>
        <w:rPr>
          <w:rFonts w:hint="eastAsia"/>
          <w:color w:val="auto"/>
        </w:rPr>
        <w:t>响应文件格式</w:t>
      </w:r>
      <w:bookmarkEnd w:id="33"/>
      <w:bookmarkEnd w:id="34"/>
      <w:bookmarkEnd w:id="35"/>
      <w:bookmarkEnd w:id="36"/>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2"/>
        <w:spacing w:after="0" w:line="360" w:lineRule="auto"/>
        <w:ind w:firstLine="480"/>
        <w:rPr>
          <w:rFonts w:hint="eastAsia" w:ascii="宋体" w:hAnsi="宋体"/>
          <w:color w:val="auto"/>
          <w:kern w:val="2"/>
          <w:sz w:val="24"/>
        </w:rPr>
      </w:pPr>
      <w:r>
        <w:rPr>
          <w:rFonts w:hint="eastAsia" w:ascii="宋体" w:hAnsi="宋体"/>
          <w:color w:val="auto"/>
          <w:kern w:val="2"/>
          <w:sz w:val="24"/>
        </w:rPr>
        <w:t>四、响应文件正本中所提供的复印件均应加盖供应商单位鲜章</w:t>
      </w:r>
    </w:p>
    <w:p>
      <w:pPr>
        <w:pStyle w:val="2"/>
        <w:spacing w:after="0" w:line="360" w:lineRule="auto"/>
        <w:ind w:firstLine="480"/>
        <w:rPr>
          <w:rFonts w:hint="eastAsia" w:ascii="宋体" w:hAnsi="宋体" w:eastAsia="宋体" w:cs="Times New Roman"/>
          <w:color w:val="auto"/>
          <w:kern w:val="2"/>
          <w:sz w:val="24"/>
          <w:lang w:eastAsia="zh-CN"/>
        </w:rPr>
      </w:pPr>
      <w:r>
        <w:rPr>
          <w:rFonts w:hint="eastAsia" w:ascii="宋体" w:hAnsi="宋体"/>
          <w:color w:val="auto"/>
          <w:kern w:val="2"/>
          <w:sz w:val="24"/>
          <w:lang w:eastAsia="zh-CN"/>
        </w:rPr>
        <w:t>五、报价函中须明确产品名称、</w:t>
      </w:r>
      <w:r>
        <w:rPr>
          <w:rFonts w:hint="eastAsia" w:ascii="宋体" w:hAnsi="宋体" w:eastAsia="宋体" w:cs="Times New Roman"/>
          <w:color w:val="auto"/>
          <w:kern w:val="2"/>
          <w:sz w:val="24"/>
          <w:lang w:val="en-US" w:eastAsia="zh-CN"/>
        </w:rPr>
        <w:t>生产厂家及品牌、规格型号、数量、单价、单项小计等相关参数。</w:t>
      </w:r>
    </w:p>
    <w:p>
      <w:pPr>
        <w:pStyle w:val="2"/>
        <w:spacing w:after="0" w:line="360" w:lineRule="auto"/>
        <w:ind w:firstLine="480"/>
        <w:rPr>
          <w:rFonts w:hint="eastAsia" w:ascii="宋体" w:hAnsi="宋体" w:eastAsia="宋体"/>
          <w:color w:val="auto"/>
          <w:kern w:val="2"/>
          <w:sz w:val="24"/>
          <w:lang w:eastAsia="zh-CN"/>
        </w:rPr>
      </w:pP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2"/>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2"/>
        <w:spacing w:line="360" w:lineRule="auto"/>
        <w:rPr>
          <w:rFonts w:hint="eastAsia"/>
          <w:color w:val="auto"/>
        </w:rPr>
      </w:pPr>
      <w:bookmarkStart w:id="110" w:name="_GoBack"/>
      <w:bookmarkEnd w:id="110"/>
    </w:p>
    <w:p>
      <w:pPr>
        <w:spacing w:line="360" w:lineRule="auto"/>
        <w:jc w:val="center"/>
        <w:rPr>
          <w:rFonts w:ascii="等线" w:hAnsi="等线" w:eastAsia="等线" w:cs="方正小标宋简体"/>
          <w:b/>
          <w:color w:val="auto"/>
          <w:sz w:val="38"/>
        </w:rPr>
      </w:pPr>
    </w:p>
    <w:p>
      <w:pPr>
        <w:pStyle w:val="2"/>
        <w:jc w:val="center"/>
        <w:rPr>
          <w:rFonts w:hint="eastAsia" w:ascii="黑体" w:hAnsi="黑体" w:eastAsia="黑体" w:cs="方正小标宋简体"/>
          <w:b/>
          <w:color w:val="auto"/>
          <w:sz w:val="44"/>
          <w:szCs w:val="44"/>
        </w:rPr>
      </w:pPr>
      <w:r>
        <w:rPr>
          <w:rFonts w:hint="eastAsia" w:ascii="方正小标宋简体" w:hAnsi="方正小标宋简体" w:eastAsia="方正小标宋简体" w:cs="方正小标宋简体"/>
          <w:color w:val="auto"/>
          <w:sz w:val="44"/>
          <w:szCs w:val="44"/>
        </w:rPr>
        <w:t>西昌民族幼儿师范高等专科学校</w:t>
      </w:r>
      <w:r>
        <w:rPr>
          <w:rFonts w:hint="eastAsia" w:ascii="方正小标宋简体" w:hAnsi="方正小标宋简体" w:eastAsia="方正小标宋简体" w:cs="方正小标宋简体"/>
          <w:color w:val="auto"/>
          <w:sz w:val="44"/>
          <w:szCs w:val="44"/>
          <w:lang w:val="en-US" w:eastAsia="zh-CN"/>
        </w:rPr>
        <w:t>厅馆</w:t>
      </w:r>
      <w:r>
        <w:rPr>
          <w:rFonts w:hint="eastAsia" w:ascii="方正小标宋简体" w:hAnsi="方正小标宋简体" w:eastAsia="方正小标宋简体" w:cs="方正小标宋简体"/>
          <w:color w:val="auto"/>
          <w:sz w:val="44"/>
          <w:szCs w:val="44"/>
        </w:rPr>
        <w:t>话筒设备（无线耳麦）</w:t>
      </w:r>
      <w:r>
        <w:rPr>
          <w:rFonts w:hint="eastAsia" w:ascii="方正小标宋简体" w:hAnsi="方正小标宋简体" w:eastAsia="方正小标宋简体" w:cs="方正小标宋简体"/>
          <w:color w:val="auto"/>
          <w:sz w:val="44"/>
          <w:szCs w:val="44"/>
          <w:lang w:val="en-US" w:eastAsia="zh-CN"/>
        </w:rPr>
        <w:t>及对讲机</w:t>
      </w:r>
      <w:r>
        <w:rPr>
          <w:rFonts w:hint="eastAsia" w:ascii="方正小标宋简体" w:hAnsi="方正小标宋简体" w:eastAsia="方正小标宋简体" w:cs="方正小标宋简体"/>
          <w:color w:val="auto"/>
          <w:sz w:val="44"/>
          <w:szCs w:val="44"/>
        </w:rPr>
        <w:t>补充购置</w:t>
      </w:r>
      <w:r>
        <w:rPr>
          <w:rFonts w:hint="eastAsia" w:ascii="黑体" w:hAnsi="黑体" w:eastAsia="黑体" w:cs="方正小标宋简体"/>
          <w:b/>
          <w:color w:val="auto"/>
          <w:sz w:val="44"/>
          <w:szCs w:val="44"/>
        </w:rPr>
        <w:t>采购项目</w:t>
      </w:r>
    </w:p>
    <w:p>
      <w:pPr>
        <w:pStyle w:val="2"/>
        <w:jc w:val="center"/>
        <w:rPr>
          <w:rFonts w:hint="eastAsia" w:ascii="黑体" w:hAnsi="黑体" w:eastAsia="黑体"/>
          <w:color w:val="auto"/>
          <w:sz w:val="44"/>
          <w:szCs w:val="44"/>
          <w:lang w:eastAsia="zh-CN"/>
        </w:rPr>
      </w:pPr>
      <w:r>
        <w:rPr>
          <w:rFonts w:hint="eastAsia" w:ascii="黑体" w:hAnsi="黑体" w:eastAsia="黑体" w:cs="方正小标宋简体"/>
          <w:b/>
          <w:color w:val="auto"/>
          <w:sz w:val="44"/>
          <w:szCs w:val="44"/>
          <w:lang w:eastAsia="zh-CN"/>
        </w:rPr>
        <w:t>（第二次）</w:t>
      </w:r>
    </w:p>
    <w:p>
      <w:pPr>
        <w:pStyle w:val="2"/>
        <w:rPr>
          <w:color w:val="auto"/>
        </w:rPr>
      </w:pPr>
    </w:p>
    <w:p>
      <w:pPr>
        <w:pStyle w:val="2"/>
        <w:rPr>
          <w:color w:val="auto"/>
        </w:rPr>
      </w:pPr>
    </w:p>
    <w:p>
      <w:pPr>
        <w:pStyle w:val="2"/>
        <w:rPr>
          <w:color w:val="auto"/>
        </w:rPr>
      </w:pPr>
    </w:p>
    <w:p>
      <w:pPr>
        <w:pStyle w:val="2"/>
        <w:rPr>
          <w:rFonts w:hint="eastAsia"/>
          <w:color w:val="auto"/>
        </w:rPr>
      </w:pPr>
    </w:p>
    <w:p>
      <w:pPr>
        <w:spacing w:line="360" w:lineRule="auto"/>
        <w:jc w:val="center"/>
        <w:rPr>
          <w:rFonts w:ascii="等线" w:hAnsi="等线" w:eastAsia="等线" w:cs="方正小标宋简体"/>
          <w:b/>
          <w:color w:val="auto"/>
          <w:sz w:val="84"/>
          <w:szCs w:val="84"/>
        </w:rPr>
      </w:pPr>
      <w:bookmarkStart w:id="40" w:name="_Toc519155925"/>
      <w:bookmarkStart w:id="41" w:name="_Toc515537551"/>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40"/>
      <w:bookmarkEnd w:id="41"/>
    </w:p>
    <w:p>
      <w:pPr>
        <w:spacing w:line="360" w:lineRule="auto"/>
        <w:rPr>
          <w:rFonts w:hint="eastAsia" w:ascii="宋体" w:hAnsi="宋体"/>
          <w:b/>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2"/>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2"/>
        <w:spacing w:line="360" w:lineRule="auto"/>
        <w:rPr>
          <w:rFonts w:hint="eastAsia"/>
          <w:color w:val="auto"/>
        </w:rPr>
      </w:pPr>
    </w:p>
    <w:p>
      <w:pPr>
        <w:pStyle w:val="2"/>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2"/>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2"/>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11"/>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2"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2"/>
    </w:p>
    <w:p>
      <w:pPr>
        <w:spacing w:line="440" w:lineRule="exact"/>
        <w:ind w:firstLine="480" w:firstLineChars="200"/>
        <w:rPr>
          <w:rFonts w:hint="eastAsia" w:ascii="宋体" w:hAnsi="宋体" w:cs="宋体"/>
          <w:color w:val="auto"/>
          <w:sz w:val="24"/>
        </w:rPr>
      </w:pPr>
      <w:bookmarkStart w:id="43" w:name="_Toc474937275"/>
      <w:r>
        <w:rPr>
          <w:rFonts w:hint="eastAsia" w:ascii="宋体" w:hAnsi="宋体" w:cs="宋体"/>
          <w:color w:val="auto"/>
          <w:sz w:val="24"/>
        </w:rPr>
        <w:t>一、具备《中华人民共和国政府采购法》第二十二条第一款和本项目规定的条件：</w:t>
      </w:r>
      <w:bookmarkEnd w:id="43"/>
    </w:p>
    <w:p>
      <w:pPr>
        <w:spacing w:line="440" w:lineRule="exact"/>
        <w:ind w:firstLine="480" w:firstLineChars="200"/>
        <w:rPr>
          <w:rFonts w:hint="eastAsia" w:ascii="宋体" w:hAnsi="宋体" w:cs="宋体"/>
          <w:color w:val="auto"/>
          <w:sz w:val="24"/>
        </w:rPr>
      </w:pPr>
      <w:bookmarkStart w:id="44"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4"/>
    </w:p>
    <w:p>
      <w:pPr>
        <w:spacing w:line="440" w:lineRule="exact"/>
        <w:ind w:firstLine="480" w:firstLineChars="200"/>
        <w:rPr>
          <w:rFonts w:hint="eastAsia" w:ascii="宋体" w:hAnsi="宋体" w:cs="宋体"/>
          <w:color w:val="auto"/>
          <w:sz w:val="24"/>
        </w:rPr>
      </w:pPr>
      <w:bookmarkStart w:id="45" w:name="_Toc474937277"/>
      <w:r>
        <w:rPr>
          <w:rFonts w:hint="eastAsia" w:ascii="宋体" w:hAnsi="宋体" w:cs="宋体"/>
          <w:color w:val="auto"/>
          <w:sz w:val="24"/>
        </w:rPr>
        <w:t>（六）法律、行政法规规定的其他条件</w:t>
      </w:r>
      <w:bookmarkEnd w:id="45"/>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6"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6"/>
    </w:p>
    <w:p>
      <w:pPr>
        <w:spacing w:line="440" w:lineRule="exact"/>
        <w:ind w:firstLine="480" w:firstLineChars="200"/>
        <w:rPr>
          <w:rFonts w:hint="eastAsia" w:ascii="宋体" w:hAnsi="宋体" w:cs="宋体"/>
          <w:color w:val="auto"/>
          <w:sz w:val="24"/>
        </w:rPr>
      </w:pPr>
      <w:bookmarkStart w:id="47"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7"/>
    </w:p>
    <w:p>
      <w:pPr>
        <w:spacing w:line="440" w:lineRule="exact"/>
        <w:ind w:firstLine="480" w:firstLineChars="200"/>
        <w:rPr>
          <w:rFonts w:hint="eastAsia" w:ascii="宋体" w:hAnsi="宋体" w:cs="宋体"/>
          <w:color w:val="auto"/>
          <w:sz w:val="24"/>
        </w:rPr>
      </w:pPr>
      <w:bookmarkStart w:id="48"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8"/>
    </w:p>
    <w:p>
      <w:pPr>
        <w:spacing w:line="440" w:lineRule="exact"/>
        <w:ind w:firstLine="480" w:firstLineChars="200"/>
        <w:rPr>
          <w:rFonts w:hint="eastAsia" w:ascii="宋体" w:hAnsi="宋体" w:cs="宋体"/>
          <w:color w:val="auto"/>
          <w:sz w:val="24"/>
        </w:rPr>
      </w:pPr>
      <w:bookmarkStart w:id="49" w:name="_Toc474937282"/>
      <w:r>
        <w:rPr>
          <w:rFonts w:hint="eastAsia" w:ascii="宋体" w:hAnsi="宋体" w:cs="宋体"/>
          <w:color w:val="auto"/>
          <w:sz w:val="24"/>
        </w:rPr>
        <w:t>五、</w:t>
      </w:r>
      <w:bookmarkEnd w:id="49"/>
      <w:bookmarkStart w:id="50"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50"/>
    </w:p>
    <w:p>
      <w:pPr>
        <w:pStyle w:val="2"/>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51"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51"/>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2"/>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2"/>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2" w:name="_Toc24553"/>
      <w:bookmarkStart w:id="53" w:name="_Toc519155926"/>
      <w:bookmarkStart w:id="54" w:name="_Toc496797232"/>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30"/>
        <w:tblW w:w="11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jc w:val="center"/>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生产厂家及品牌</w:t>
            </w:r>
          </w:p>
        </w:tc>
        <w:tc>
          <w:tcPr>
            <w:tcW w:w="1277" w:type="dxa"/>
            <w:noWrap w:val="0"/>
            <w:vAlign w:val="top"/>
          </w:tcPr>
          <w:p>
            <w:pPr>
              <w:spacing w:line="360" w:lineRule="auto"/>
              <w:jc w:val="center"/>
              <w:rPr>
                <w:rFonts w:hint="default"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规格型号</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2"/>
              <w:jc w:val="center"/>
              <w:rPr>
                <w:rFonts w:hint="eastAsia" w:ascii="仿宋_GB2312" w:hAnsi="宋体" w:eastAsia="仿宋_GB2312"/>
                <w:color w:val="auto"/>
                <w:szCs w:val="21"/>
                <w:shd w:val="clear" w:color="auto" w:fill="FFFFFF"/>
              </w:rPr>
            </w:pPr>
          </w:p>
        </w:tc>
        <w:tc>
          <w:tcPr>
            <w:tcW w:w="2080" w:type="dxa"/>
            <w:noWrap w:val="0"/>
            <w:vAlign w:val="top"/>
          </w:tcPr>
          <w:p>
            <w:pPr>
              <w:pStyle w:val="2"/>
              <w:spacing w:after="0" w:line="400" w:lineRule="exact"/>
              <w:rPr>
                <w:rFonts w:hint="eastAsia" w:ascii="仿宋_GB2312" w:eastAsia="仿宋_GB2312"/>
                <w:color w:val="auto"/>
                <w:szCs w:val="21"/>
              </w:rPr>
            </w:pPr>
          </w:p>
        </w:tc>
        <w:tc>
          <w:tcPr>
            <w:tcW w:w="1277" w:type="dxa"/>
            <w:noWrap w:val="0"/>
            <w:vAlign w:val="center"/>
          </w:tcPr>
          <w:p>
            <w:pPr>
              <w:pStyle w:val="2"/>
              <w:jc w:val="center"/>
              <w:rPr>
                <w:rFonts w:ascii="仿宋_GB2312" w:eastAsia="仿宋_GB2312"/>
                <w:color w:val="auto"/>
                <w:szCs w:val="21"/>
              </w:rPr>
            </w:pPr>
          </w:p>
        </w:tc>
        <w:tc>
          <w:tcPr>
            <w:tcW w:w="1277" w:type="dxa"/>
            <w:noWrap w:val="0"/>
            <w:vAlign w:val="center"/>
          </w:tcPr>
          <w:p>
            <w:pPr>
              <w:pStyle w:val="2"/>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2"/>
              <w:jc w:val="center"/>
              <w:rPr>
                <w:rFonts w:hint="eastAsia" w:ascii="仿宋_GB2312" w:hAnsi="宋体" w:eastAsia="仿宋_GB2312"/>
                <w:color w:val="auto"/>
                <w:szCs w:val="21"/>
                <w:shd w:val="clear" w:color="auto" w:fill="FFFFFF"/>
              </w:rPr>
            </w:pPr>
          </w:p>
        </w:tc>
        <w:tc>
          <w:tcPr>
            <w:tcW w:w="2080" w:type="dxa"/>
            <w:noWrap w:val="0"/>
            <w:vAlign w:val="top"/>
          </w:tcPr>
          <w:p>
            <w:pPr>
              <w:pStyle w:val="2"/>
              <w:spacing w:after="0" w:line="400" w:lineRule="exact"/>
              <w:rPr>
                <w:rFonts w:hint="eastAsia" w:ascii="仿宋_GB2312" w:eastAsia="仿宋_GB2312"/>
                <w:color w:val="auto"/>
                <w:szCs w:val="21"/>
              </w:rPr>
            </w:pPr>
          </w:p>
        </w:tc>
        <w:tc>
          <w:tcPr>
            <w:tcW w:w="1277" w:type="dxa"/>
            <w:noWrap w:val="0"/>
            <w:vAlign w:val="center"/>
          </w:tcPr>
          <w:p>
            <w:pPr>
              <w:pStyle w:val="2"/>
              <w:jc w:val="center"/>
              <w:rPr>
                <w:rFonts w:ascii="仿宋_GB2312" w:eastAsia="仿宋_GB2312"/>
                <w:color w:val="auto"/>
                <w:szCs w:val="21"/>
              </w:rPr>
            </w:pPr>
          </w:p>
        </w:tc>
        <w:tc>
          <w:tcPr>
            <w:tcW w:w="1277" w:type="dxa"/>
            <w:noWrap w:val="0"/>
            <w:vAlign w:val="center"/>
          </w:tcPr>
          <w:p>
            <w:pPr>
              <w:pStyle w:val="2"/>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93" w:type="dxa"/>
            <w:noWrap w:val="0"/>
            <w:vAlign w:val="center"/>
          </w:tcPr>
          <w:p>
            <w:pPr>
              <w:spacing w:line="360" w:lineRule="exact"/>
              <w:jc w:val="center"/>
              <w:rPr>
                <w:rFonts w:hint="eastAsia" w:ascii="仿宋_GB2312" w:eastAsia="仿宋_GB2312"/>
                <w:b/>
                <w:color w:val="auto"/>
                <w:sz w:val="24"/>
                <w:lang w:val="en-US" w:eastAsia="zh-CN"/>
              </w:rPr>
            </w:pPr>
            <w:r>
              <w:rPr>
                <w:rFonts w:hint="eastAsia" w:ascii="仿宋_GB2312" w:eastAsia="仿宋_GB2312"/>
                <w:b/>
                <w:color w:val="auto"/>
                <w:sz w:val="24"/>
              </w:rPr>
              <w:t>报价</w:t>
            </w:r>
            <w:r>
              <w:rPr>
                <w:rFonts w:hint="eastAsia" w:ascii="仿宋_GB2312" w:eastAsia="仿宋_GB2312"/>
                <w:b/>
                <w:color w:val="auto"/>
                <w:sz w:val="24"/>
                <w:lang w:val="en-US" w:eastAsia="zh-CN"/>
              </w:rPr>
              <w:t>合计</w:t>
            </w:r>
          </w:p>
        </w:tc>
        <w:tc>
          <w:tcPr>
            <w:tcW w:w="10040" w:type="dxa"/>
            <w:gridSpan w:val="7"/>
            <w:noWrap w:val="0"/>
            <w:vAlign w:val="center"/>
          </w:tcPr>
          <w:p>
            <w:pPr>
              <w:spacing w:line="360" w:lineRule="exact"/>
              <w:jc w:val="left"/>
              <w:rPr>
                <w:rFonts w:hint="eastAsia" w:ascii="仿宋_GB2312" w:eastAsia="仿宋_GB2312"/>
                <w:color w:val="auto"/>
                <w:szCs w:val="21"/>
                <w:lang w:eastAsia="zh-CN"/>
              </w:rPr>
            </w:pPr>
            <w:r>
              <w:rPr>
                <w:rFonts w:hint="eastAsia" w:ascii="仿宋_GB2312" w:eastAsia="仿宋_GB2312"/>
                <w:color w:val="auto"/>
                <w:szCs w:val="21"/>
                <w:lang w:val="en-US" w:eastAsia="zh-CN"/>
              </w:rPr>
              <w:t>XX</w:t>
            </w:r>
            <w:r>
              <w:rPr>
                <w:rFonts w:hint="eastAsia" w:ascii="仿宋_GB2312" w:eastAsia="仿宋_GB2312"/>
                <w:color w:val="auto"/>
                <w:szCs w:val="21"/>
              </w:rPr>
              <w:t xml:space="preserve">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xxx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81"/>
        <w:ind w:firstLine="420" w:firstLineChars="200"/>
        <w:rPr>
          <w:rFonts w:ascii="仿宋_GB2312" w:hAnsi="仿宋" w:eastAsia="仿宋_GB2312" w:cs="仿宋"/>
          <w:color w:val="auto"/>
          <w:sz w:val="21"/>
          <w:szCs w:val="21"/>
        </w:rPr>
      </w:pPr>
    </w:p>
    <w:p>
      <w:pPr>
        <w:pStyle w:val="81"/>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4"/>
        <w:numPr>
          <w:ilvl w:val="0"/>
          <w:numId w:val="0"/>
        </w:numPr>
        <w:spacing w:line="360" w:lineRule="auto"/>
        <w:jc w:val="center"/>
        <w:rPr>
          <w:rFonts w:hint="eastAsia" w:ascii="黑体" w:hAnsi="宋体"/>
          <w:color w:val="auto"/>
          <w:lang w:val="en-US" w:eastAsia="zh-CN"/>
        </w:rPr>
      </w:pPr>
      <w:r>
        <w:rPr>
          <w:rFonts w:hint="eastAsia" w:ascii="黑体" w:hAnsi="宋体" w:eastAsia="黑体"/>
          <w:b/>
          <w:bCs/>
          <w:color w:val="auto"/>
          <w:kern w:val="0"/>
          <w:sz w:val="32"/>
          <w:szCs w:val="32"/>
          <w:lang w:val="en-US" w:eastAsia="zh-CN" w:bidi="ar-SA"/>
        </w:rPr>
        <w:br w:type="page"/>
      </w:r>
      <w:r>
        <w:rPr>
          <w:rFonts w:hint="eastAsia" w:ascii="黑体" w:hAnsi="宋体" w:eastAsia="黑体"/>
          <w:b/>
          <w:bCs/>
          <w:color w:val="auto"/>
          <w:kern w:val="0"/>
          <w:sz w:val="32"/>
          <w:szCs w:val="32"/>
          <w:lang w:val="en-US" w:eastAsia="zh-CN" w:bidi="ar-SA"/>
        </w:rPr>
        <w:t>五、</w:t>
      </w:r>
      <w:bookmarkEnd w:id="52"/>
      <w:bookmarkEnd w:id="53"/>
      <w:bookmarkEnd w:id="54"/>
      <w:bookmarkStart w:id="55" w:name="_Toc519155927"/>
      <w:bookmarkStart w:id="56" w:name="_Toc60142203"/>
      <w:r>
        <w:rPr>
          <w:rFonts w:hint="eastAsia" w:ascii="黑体" w:hAnsi="宋体"/>
          <w:color w:val="auto"/>
          <w:lang w:val="en-US" w:eastAsia="zh-CN"/>
        </w:rPr>
        <w:t>技术参数响应表</w:t>
      </w:r>
    </w:p>
    <w:p>
      <w:pPr>
        <w:pStyle w:val="2"/>
        <w:spacing w:line="360" w:lineRule="auto"/>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项目名称：XXX</w:t>
      </w:r>
    </w:p>
    <w:p>
      <w:pPr>
        <w:pStyle w:val="2"/>
        <w:spacing w:line="360" w:lineRule="auto"/>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rPr>
        <w:t>XXX</w:t>
      </w:r>
    </w:p>
    <w:tbl>
      <w:tblPr>
        <w:tblStyle w:val="30"/>
        <w:tblW w:w="11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3309"/>
        <w:gridCol w:w="3309"/>
        <w:gridCol w:w="3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1" w:type="dxa"/>
            <w:noWrap w:val="0"/>
            <w:vAlign w:val="center"/>
          </w:tcPr>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3309" w:type="dxa"/>
            <w:noWrap w:val="0"/>
            <w:vAlign w:val="center"/>
          </w:tcPr>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询价</w:t>
            </w:r>
            <w:r>
              <w:rPr>
                <w:rFonts w:hint="eastAsia" w:ascii="仿宋" w:hAnsi="仿宋" w:eastAsia="仿宋" w:cs="仿宋"/>
                <w:b/>
                <w:color w:val="auto"/>
                <w:sz w:val="28"/>
                <w:szCs w:val="28"/>
              </w:rPr>
              <w:t>文件要求</w:t>
            </w:r>
          </w:p>
        </w:tc>
        <w:tc>
          <w:tcPr>
            <w:tcW w:w="3309" w:type="dxa"/>
            <w:noWrap w:val="0"/>
            <w:vAlign w:val="center"/>
          </w:tcPr>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响应文件响应</w:t>
            </w:r>
          </w:p>
        </w:tc>
        <w:tc>
          <w:tcPr>
            <w:tcW w:w="3309" w:type="dxa"/>
            <w:noWrap w:val="0"/>
            <w:vAlign w:val="center"/>
          </w:tcPr>
          <w:p>
            <w:pPr>
              <w:spacing w:line="360" w:lineRule="auto"/>
              <w:jc w:val="center"/>
              <w:rPr>
                <w:rFonts w:hint="eastAsia" w:ascii="仿宋" w:hAnsi="仿宋" w:eastAsia="仿宋" w:cs="仿宋"/>
                <w:color w:val="auto"/>
                <w:sz w:val="28"/>
                <w:szCs w:val="28"/>
              </w:rPr>
            </w:pPr>
            <w:bookmarkStart w:id="57" w:name="_Toc96262816"/>
            <w:r>
              <w:rPr>
                <w:rFonts w:hint="eastAsia" w:ascii="仿宋" w:hAnsi="仿宋" w:eastAsia="仿宋" w:cs="仿宋"/>
                <w:b/>
                <w:color w:val="auto"/>
                <w:sz w:val="28"/>
                <w:szCs w:val="28"/>
              </w:rPr>
              <w:t>响应/偏离</w:t>
            </w:r>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31"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31"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31"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31"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r>
    </w:tbl>
    <w:p>
      <w:pPr>
        <w:pStyle w:val="4"/>
        <w:spacing w:line="360" w:lineRule="auto"/>
        <w:ind w:firstLine="482"/>
        <w:jc w:val="both"/>
        <w:rPr>
          <w:rFonts w:hint="eastAsia" w:ascii="仿宋" w:hAnsi="仿宋" w:eastAsia="仿宋" w:cs="仿宋"/>
          <w:b/>
          <w:color w:val="auto"/>
          <w:sz w:val="28"/>
          <w:szCs w:val="28"/>
        </w:rPr>
      </w:pPr>
      <w:r>
        <w:rPr>
          <w:rFonts w:hint="eastAsia" w:ascii="仿宋" w:hAnsi="仿宋" w:eastAsia="仿宋" w:cs="仿宋"/>
          <w:b/>
          <w:bCs/>
          <w:color w:val="auto"/>
          <w:sz w:val="28"/>
          <w:szCs w:val="28"/>
          <w:lang w:val="en-US"/>
        </w:rPr>
        <w:t>注：</w:t>
      </w:r>
      <w:r>
        <w:rPr>
          <w:rFonts w:hint="eastAsia" w:ascii="仿宋" w:hAnsi="仿宋" w:eastAsia="仿宋" w:cs="仿宋"/>
          <w:color w:val="auto"/>
          <w:sz w:val="28"/>
          <w:szCs w:val="28"/>
        </w:rPr>
        <w:t>供应商必须根据</w:t>
      </w:r>
      <w:r>
        <w:rPr>
          <w:rFonts w:hint="eastAsia" w:ascii="仿宋" w:hAnsi="仿宋" w:eastAsia="仿宋" w:cs="仿宋"/>
          <w:color w:val="auto"/>
          <w:sz w:val="28"/>
          <w:szCs w:val="28"/>
          <w:lang w:val="en-US" w:eastAsia="zh-CN"/>
        </w:rPr>
        <w:t>询价</w:t>
      </w:r>
      <w:r>
        <w:rPr>
          <w:rFonts w:hint="eastAsia" w:ascii="仿宋" w:hAnsi="仿宋" w:eastAsia="仿宋" w:cs="仿宋"/>
          <w:color w:val="auto"/>
          <w:sz w:val="28"/>
          <w:szCs w:val="28"/>
        </w:rPr>
        <w:t>文件</w:t>
      </w:r>
      <w:r>
        <w:rPr>
          <w:rFonts w:hint="eastAsia" w:ascii="仿宋" w:hAnsi="仿宋" w:eastAsia="仿宋" w:cs="仿宋"/>
          <w:color w:val="auto"/>
          <w:sz w:val="28"/>
          <w:szCs w:val="28"/>
          <w:lang w:val="en-US" w:eastAsia="zh-CN"/>
        </w:rPr>
        <w:t>技术参数要求</w:t>
      </w:r>
      <w:r>
        <w:rPr>
          <w:rFonts w:hint="eastAsia" w:ascii="仿宋" w:hAnsi="仿宋" w:eastAsia="仿宋" w:cs="仿宋"/>
          <w:color w:val="auto"/>
          <w:sz w:val="28"/>
          <w:szCs w:val="28"/>
        </w:rPr>
        <w:t>据实逐条填写，不得虚假响应，虚假响应的，其响应文件无效并按规定追究其相关责任。</w:t>
      </w:r>
    </w:p>
    <w:p>
      <w:pPr>
        <w:tabs>
          <w:tab w:val="left" w:pos="7665"/>
        </w:tabs>
        <w:spacing w:line="360" w:lineRule="auto"/>
        <w:ind w:firstLine="562" w:firstLineChars="200"/>
        <w:rPr>
          <w:rFonts w:hint="eastAsia" w:ascii="仿宋" w:hAnsi="仿宋" w:eastAsia="仿宋" w:cs="仿宋"/>
          <w:b/>
          <w:bCs/>
          <w:color w:val="auto"/>
          <w:sz w:val="28"/>
          <w:szCs w:val="28"/>
        </w:rPr>
      </w:pPr>
    </w:p>
    <w:p>
      <w:pPr>
        <w:pStyle w:val="2"/>
        <w:spacing w:line="360" w:lineRule="auto"/>
        <w:ind w:firstLine="560" w:firstLineChars="200"/>
        <w:jc w:val="both"/>
        <w:rPr>
          <w:rFonts w:hint="eastAsia" w:ascii="仿宋" w:hAnsi="仿宋" w:eastAsia="仿宋" w:cs="仿宋"/>
          <w:color w:val="auto"/>
          <w:sz w:val="28"/>
          <w:szCs w:val="28"/>
          <w:lang w:val="en-US"/>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4"/>
        <w:numPr>
          <w:ilvl w:val="0"/>
          <w:numId w:val="0"/>
        </w:numPr>
        <w:spacing w:line="360" w:lineRule="auto"/>
        <w:jc w:val="center"/>
        <w:rPr>
          <w:rFonts w:ascii="等线" w:hAnsi="等线" w:eastAsia="等线"/>
          <w:color w:val="auto"/>
          <w:sz w:val="30"/>
          <w:szCs w:val="30"/>
        </w:rPr>
      </w:pPr>
      <w:r>
        <w:rPr>
          <w:rFonts w:ascii="黑体" w:hAnsi="宋体"/>
          <w:color w:val="auto"/>
        </w:rPr>
        <w:br w:type="page"/>
      </w:r>
      <w:r>
        <w:rPr>
          <w:rFonts w:hint="eastAsia" w:ascii="黑体" w:hAnsi="宋体"/>
          <w:color w:val="auto"/>
          <w:lang w:val="en-US" w:eastAsia="zh-CN"/>
        </w:rPr>
        <w:t>六</w:t>
      </w:r>
      <w:r>
        <w:rPr>
          <w:rFonts w:hint="eastAsia" w:ascii="等线" w:hAnsi="等线" w:eastAsia="等线"/>
          <w:color w:val="auto"/>
          <w:sz w:val="30"/>
          <w:szCs w:val="30"/>
        </w:rPr>
        <w:t>、其他材料</w:t>
      </w:r>
      <w:bookmarkEnd w:id="55"/>
      <w:bookmarkEnd w:id="56"/>
    </w:p>
    <w:p>
      <w:pPr>
        <w:pStyle w:val="8"/>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7"/>
    <w:bookmarkEnd w:id="38"/>
    <w:bookmarkEnd w:id="39"/>
    <w:p>
      <w:pPr>
        <w:pStyle w:val="2"/>
        <w:numPr>
          <w:ilvl w:val="0"/>
          <w:numId w:val="5"/>
        </w:numPr>
        <w:jc w:val="center"/>
        <w:rPr>
          <w:rStyle w:val="38"/>
          <w:rFonts w:ascii="Times New Roman" w:hAnsi="Times New Roman" w:eastAsia="宋体" w:cs="Times New Roman"/>
          <w:b/>
          <w:bCs/>
          <w:sz w:val="28"/>
          <w:szCs w:val="28"/>
        </w:rPr>
      </w:pPr>
      <w:r>
        <w:rPr>
          <w:rFonts w:hint="eastAsia" w:ascii="仿宋_GB2312" w:eastAsia="仿宋_GB2312"/>
          <w:color w:val="auto"/>
          <w:sz w:val="21"/>
          <w:szCs w:val="21"/>
        </w:rPr>
        <w:br w:type="page"/>
      </w:r>
      <w:r>
        <w:rPr>
          <w:rStyle w:val="38"/>
          <w:rFonts w:hint="eastAsia" w:ascii="Times New Roman" w:hAnsi="Times New Roman" w:eastAsia="宋体" w:cs="Times New Roman"/>
          <w:b/>
          <w:bCs/>
          <w:sz w:val="28"/>
          <w:szCs w:val="28"/>
          <w:lang w:eastAsia="zh-CN"/>
        </w:rPr>
        <w:t>询价</w:t>
      </w:r>
      <w:r>
        <w:rPr>
          <w:rStyle w:val="38"/>
          <w:rFonts w:ascii="Times New Roman" w:hAnsi="Times New Roman" w:eastAsia="宋体" w:cs="Times New Roman"/>
          <w:b/>
          <w:bCs/>
          <w:sz w:val="28"/>
          <w:szCs w:val="28"/>
        </w:rPr>
        <w:t>方法及报告</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w:t>
      </w:r>
      <w:r>
        <w:rPr>
          <w:rFonts w:hint="eastAsia" w:ascii="宋体" w:hAnsi="宋体"/>
          <w:bCs/>
          <w:color w:val="auto"/>
          <w:sz w:val="24"/>
          <w:highlight w:val="none"/>
          <w:lang w:val="en-US" w:eastAsia="zh-CN"/>
        </w:rPr>
        <w:t>参照</w:t>
      </w:r>
      <w:r>
        <w:rPr>
          <w:rFonts w:hint="eastAsia" w:ascii="宋体" w:hAnsi="宋体"/>
          <w:bCs/>
          <w:color w:val="auto"/>
          <w:sz w:val="24"/>
          <w:highlight w:val="none"/>
        </w:rPr>
        <w:t>《政府采购非招标采购方式管理办法》（财政部部长令第74号）、《四川省政府采购非招标采购方式实施办法》（川财采[2015]36号）的规定履行职责和义务，不得违法评审、违反评审工作纪律。</w:t>
      </w:r>
    </w:p>
    <w:p>
      <w:pPr>
        <w:adjustRightInd w:val="0"/>
        <w:snapToGrid w:val="0"/>
        <w:spacing w:line="400" w:lineRule="exact"/>
        <w:ind w:firstLine="480" w:firstLineChars="200"/>
        <w:rPr>
          <w:rFonts w:hint="eastAsia" w:ascii="宋体" w:hAnsi="宋体"/>
          <w:bCs/>
          <w:color w:val="auto"/>
          <w:sz w:val="24"/>
          <w:highlight w:val="none"/>
        </w:rPr>
      </w:pPr>
    </w:p>
    <w:p>
      <w:pPr>
        <w:adjustRightInd w:val="0"/>
        <w:snapToGrid w:val="0"/>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1.询价程序</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1.1供应商签到并递交响应文件。</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1.2资格审查。</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1.3出具资格审查报告，当场宣布资格审查结果，并告知未通过资格审查的供应商未通过资格审查的原因，但涉及商业秘密的除外。</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1.4询价小组按照询价通知书的规定对供应商的响应文件进行书面审查。</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1.5所有实质性响应的供应商在规定的时间内一次报出不得更改的价格。</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1.6供应商报价结束后，询价小组拟出具评审报告前，询价采购单位应当组织2名以上的本单位工作人员，在采购现场监督人员的监督之下，依据有关的法律制度和采购文件对评审结果进行复核，出具复核报告。</w:t>
      </w:r>
    </w:p>
    <w:p>
      <w:pPr>
        <w:pStyle w:val="2"/>
        <w:numPr>
          <w:ilvl w:val="0"/>
          <w:numId w:val="6"/>
        </w:numPr>
        <w:rPr>
          <w:rFonts w:hint="eastAsia" w:ascii="宋体" w:hAnsi="宋体"/>
          <w:bCs/>
          <w:color w:val="auto"/>
          <w:sz w:val="24"/>
          <w:highlight w:val="none"/>
        </w:rPr>
      </w:pPr>
      <w:r>
        <w:rPr>
          <w:rFonts w:hint="eastAsia" w:ascii="宋体" w:hAnsi="宋体"/>
          <w:bCs/>
          <w:color w:val="auto"/>
          <w:sz w:val="24"/>
          <w:highlight w:val="none"/>
        </w:rPr>
        <w:t>1.7询价小组编写评审报告。询价小组从质量和服务均能满足采购文件实质性要求的供应商中，按照供应商的报价由低到高排序，推荐成交候选供应商。供应商报价相同的，</w:t>
      </w:r>
      <w:r>
        <w:rPr>
          <w:rFonts w:hint="eastAsia" w:ascii="宋体" w:hAnsi="宋体"/>
          <w:bCs/>
          <w:color w:val="auto"/>
          <w:sz w:val="24"/>
          <w:highlight w:val="none"/>
          <w:lang w:eastAsia="zh-CN"/>
        </w:rPr>
        <w:t>按照相关优先原则确定（</w:t>
      </w:r>
      <w:r>
        <w:rPr>
          <w:rFonts w:hint="eastAsia" w:ascii="宋体" w:hAnsi="宋体"/>
          <w:bCs/>
          <w:color w:val="auto"/>
          <w:sz w:val="24"/>
          <w:highlight w:val="none"/>
          <w:lang w:val="en-US" w:eastAsia="zh-CN"/>
        </w:rPr>
        <w:t>供应商提供本项目的产品属于优先采购范围的，以提供了的作为成交供应商；均提供的，以种类多的供应商作为成交供应商；</w:t>
      </w:r>
      <w:r>
        <w:rPr>
          <w:rFonts w:hint="eastAsia" w:ascii="宋体" w:hAnsi="宋体"/>
          <w:bCs/>
          <w:color w:val="auto"/>
          <w:sz w:val="24"/>
          <w:highlight w:val="none"/>
          <w:lang w:eastAsia="zh-CN"/>
        </w:rPr>
        <w:t>注册地为少数民族或不发达地区的供应商优先作为成交供应商。），如还不能确定</w:t>
      </w:r>
      <w:r>
        <w:rPr>
          <w:rFonts w:hint="eastAsia" w:ascii="宋体" w:hAnsi="宋体"/>
          <w:bCs/>
          <w:color w:val="auto"/>
          <w:sz w:val="24"/>
          <w:highlight w:val="none"/>
        </w:rPr>
        <w:t>由询价小组组织供应商抽签确定推荐的成交候选供应商顺序。</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1.8采购人根据质量和服务均能满足采购文件实质性要求且报价最低的原则确定成交供应商（也可以书面授权询价小组直接确定成交供应商）。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1.9发布成交结果公告，同时发出成交通知书。</w:t>
      </w:r>
    </w:p>
    <w:p>
      <w:pPr>
        <w:adjustRightInd w:val="0"/>
        <w:snapToGrid w:val="0"/>
        <w:spacing w:line="400" w:lineRule="exact"/>
        <w:ind w:firstLine="480" w:firstLineChars="200"/>
        <w:rPr>
          <w:rFonts w:hint="eastAsia" w:ascii="宋体" w:hAnsi="宋体"/>
          <w:bCs/>
          <w:color w:val="auto"/>
          <w:sz w:val="24"/>
          <w:highlight w:val="none"/>
        </w:rPr>
      </w:pPr>
    </w:p>
    <w:p>
      <w:pPr>
        <w:adjustRightInd w:val="0"/>
        <w:snapToGrid w:val="0"/>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2.评审程序、评审方法、评审标准</w:t>
      </w:r>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58" w:name="_Toc45884730"/>
      <w:bookmarkStart w:id="59" w:name="_Toc45884850"/>
      <w:bookmarkStart w:id="60" w:name="_Toc45884790"/>
      <w:bookmarkStart w:id="61" w:name="_Toc45884670"/>
      <w:r>
        <w:rPr>
          <w:rFonts w:hint="eastAsia" w:ascii="宋体" w:hAnsi="宋体"/>
          <w:b w:val="0"/>
          <w:bCs w:val="0"/>
          <w:color w:val="auto"/>
          <w:sz w:val="24"/>
          <w:highlight w:val="none"/>
        </w:rPr>
        <w:t>2.1</w:t>
      </w:r>
      <w:r>
        <w:rPr>
          <w:rFonts w:hint="eastAsia" w:ascii="宋体" w:hAnsi="宋体" w:eastAsia="宋体"/>
          <w:b w:val="0"/>
          <w:color w:val="auto"/>
          <w:sz w:val="24"/>
          <w:szCs w:val="24"/>
          <w:highlight w:val="none"/>
        </w:rPr>
        <w:t>熟悉和理解询价通知书和停止评审。</w:t>
      </w:r>
      <w:bookmarkEnd w:id="58"/>
      <w:bookmarkEnd w:id="59"/>
      <w:bookmarkEnd w:id="60"/>
      <w:bookmarkEnd w:id="61"/>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62" w:name="_Toc45884731"/>
      <w:bookmarkStart w:id="63" w:name="_Toc45884791"/>
      <w:bookmarkStart w:id="64" w:name="_Toc45884851"/>
      <w:bookmarkStart w:id="65" w:name="_Toc45884671"/>
      <w:r>
        <w:rPr>
          <w:rFonts w:hint="eastAsia" w:ascii="宋体" w:hAnsi="宋体" w:eastAsia="宋体"/>
          <w:b w:val="0"/>
          <w:color w:val="auto"/>
          <w:sz w:val="24"/>
          <w:szCs w:val="24"/>
          <w:highlight w:val="none"/>
        </w:rPr>
        <w:t>2.1.1 询价小组正式评审前，应当对询价通知书进行熟悉和理解，内容主要包括询价通知书中供应商资格条件要求、采购项目技术、服务和商务要求、询价办法和评审标准、政府采购政策要求以及政府采购合同主要条款等。</w:t>
      </w:r>
      <w:bookmarkEnd w:id="62"/>
      <w:bookmarkEnd w:id="63"/>
      <w:bookmarkEnd w:id="64"/>
      <w:bookmarkEnd w:id="65"/>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66" w:name="_Toc45884732"/>
      <w:bookmarkStart w:id="67" w:name="_Toc45884672"/>
      <w:bookmarkStart w:id="68" w:name="_Toc45884792"/>
      <w:bookmarkStart w:id="69" w:name="_Toc45884852"/>
      <w:r>
        <w:rPr>
          <w:rFonts w:hint="eastAsia" w:ascii="宋体" w:hAnsi="宋体" w:eastAsia="宋体"/>
          <w:b w:val="0"/>
          <w:color w:val="auto"/>
          <w:sz w:val="24"/>
          <w:szCs w:val="24"/>
          <w:highlight w:val="none"/>
        </w:rPr>
        <w:t>2.1.2 本询价通知书有下列情形之一的，询价小组应当停止评审：</w:t>
      </w:r>
      <w:bookmarkEnd w:id="66"/>
      <w:bookmarkEnd w:id="67"/>
      <w:bookmarkEnd w:id="68"/>
      <w:bookmarkEnd w:id="69"/>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70" w:name="_Toc45884733"/>
      <w:bookmarkStart w:id="71" w:name="_Toc45884793"/>
      <w:bookmarkStart w:id="72" w:name="_Toc45884853"/>
      <w:bookmarkStart w:id="73" w:name="_Toc45884673"/>
      <w:r>
        <w:rPr>
          <w:rFonts w:hint="eastAsia" w:ascii="宋体" w:hAnsi="宋体" w:eastAsia="宋体"/>
          <w:b w:val="0"/>
          <w:color w:val="auto"/>
          <w:sz w:val="24"/>
          <w:szCs w:val="24"/>
          <w:highlight w:val="none"/>
        </w:rPr>
        <w:t>（1）询价通知书的规定存在歧义、重大缺陷的；</w:t>
      </w:r>
      <w:bookmarkEnd w:id="70"/>
      <w:bookmarkEnd w:id="71"/>
      <w:bookmarkEnd w:id="72"/>
      <w:bookmarkEnd w:id="73"/>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74" w:name="_Toc45884674"/>
      <w:bookmarkStart w:id="75" w:name="_Toc45884734"/>
      <w:bookmarkStart w:id="76" w:name="_Toc45884854"/>
      <w:bookmarkStart w:id="77" w:name="_Toc45884794"/>
      <w:r>
        <w:rPr>
          <w:rFonts w:hint="eastAsia" w:ascii="宋体" w:hAnsi="宋体" w:eastAsia="宋体"/>
          <w:b w:val="0"/>
          <w:color w:val="auto"/>
          <w:sz w:val="24"/>
          <w:szCs w:val="24"/>
          <w:highlight w:val="none"/>
        </w:rPr>
        <w:t>（2）询价通知书明显以不合理条件对供应商实行差别待遇或者歧视待遇的；</w:t>
      </w:r>
      <w:bookmarkEnd w:id="74"/>
      <w:bookmarkEnd w:id="75"/>
      <w:bookmarkEnd w:id="76"/>
      <w:bookmarkEnd w:id="77"/>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78" w:name="_Toc45884855"/>
      <w:bookmarkStart w:id="79" w:name="_Toc45884675"/>
      <w:bookmarkStart w:id="80" w:name="_Toc45884735"/>
      <w:bookmarkStart w:id="81" w:name="_Toc45884795"/>
      <w:r>
        <w:rPr>
          <w:rFonts w:hint="eastAsia" w:ascii="宋体" w:hAnsi="宋体" w:eastAsia="宋体"/>
          <w:b w:val="0"/>
          <w:color w:val="auto"/>
          <w:sz w:val="24"/>
          <w:szCs w:val="24"/>
          <w:highlight w:val="none"/>
        </w:rPr>
        <w:t>（3）采购项目属于国家规定的优先、强制采购范围，但是询价通知书未依法体现优先、强制采购相关规定的；</w:t>
      </w:r>
      <w:bookmarkEnd w:id="78"/>
      <w:bookmarkEnd w:id="79"/>
      <w:bookmarkEnd w:id="80"/>
      <w:bookmarkEnd w:id="81"/>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82" w:name="_Toc45884856"/>
      <w:bookmarkStart w:id="83" w:name="_Toc45884676"/>
      <w:bookmarkStart w:id="84" w:name="_Toc45884796"/>
      <w:bookmarkStart w:id="85" w:name="_Toc45884736"/>
      <w:r>
        <w:rPr>
          <w:rFonts w:hint="eastAsia" w:ascii="宋体" w:hAnsi="宋体" w:eastAsia="宋体"/>
          <w:b w:val="0"/>
          <w:color w:val="auto"/>
          <w:sz w:val="24"/>
          <w:szCs w:val="24"/>
          <w:highlight w:val="none"/>
        </w:rPr>
        <w:t>（4）采购项目属于政府采购促进中小企业发展的范围，但是询价通知书未依法体现促进中小企业发展相关规定的；</w:t>
      </w:r>
      <w:bookmarkEnd w:id="82"/>
      <w:bookmarkEnd w:id="83"/>
      <w:bookmarkEnd w:id="84"/>
      <w:bookmarkEnd w:id="85"/>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86" w:name="_Toc45884797"/>
      <w:bookmarkStart w:id="87" w:name="_Toc45884857"/>
      <w:bookmarkStart w:id="88" w:name="_Toc45884737"/>
      <w:bookmarkStart w:id="89" w:name="_Toc45884677"/>
      <w:r>
        <w:rPr>
          <w:rFonts w:hint="eastAsia" w:ascii="宋体" w:hAnsi="宋体" w:eastAsia="宋体"/>
          <w:b w:val="0"/>
          <w:color w:val="auto"/>
          <w:sz w:val="24"/>
          <w:szCs w:val="24"/>
          <w:highlight w:val="none"/>
        </w:rPr>
        <w:t>（5）询价通知书将供应商的资格条件列为评分因素的；</w:t>
      </w:r>
      <w:bookmarkEnd w:id="86"/>
      <w:bookmarkEnd w:id="87"/>
      <w:bookmarkEnd w:id="88"/>
      <w:bookmarkEnd w:id="89"/>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90" w:name="_Toc45884738"/>
      <w:bookmarkStart w:id="91" w:name="_Toc45884798"/>
      <w:bookmarkStart w:id="92" w:name="_Toc45884858"/>
      <w:bookmarkStart w:id="93" w:name="_Toc45884678"/>
      <w:r>
        <w:rPr>
          <w:rFonts w:hint="eastAsia" w:ascii="宋体" w:hAnsi="宋体" w:eastAsia="宋体"/>
          <w:b w:val="0"/>
          <w:color w:val="auto"/>
          <w:sz w:val="24"/>
          <w:szCs w:val="24"/>
          <w:highlight w:val="none"/>
        </w:rPr>
        <w:t>（6）询价通知书载明的成交原则不合法的；</w:t>
      </w:r>
      <w:bookmarkEnd w:id="90"/>
      <w:bookmarkEnd w:id="91"/>
      <w:bookmarkEnd w:id="92"/>
      <w:bookmarkEnd w:id="93"/>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94" w:name="_Toc45884739"/>
      <w:bookmarkStart w:id="95" w:name="_Toc45884859"/>
      <w:bookmarkStart w:id="96" w:name="_Toc45884679"/>
      <w:bookmarkStart w:id="97" w:name="_Toc45884799"/>
      <w:r>
        <w:rPr>
          <w:rFonts w:hint="eastAsia" w:ascii="宋体" w:hAnsi="宋体" w:eastAsia="宋体"/>
          <w:b w:val="0"/>
          <w:color w:val="auto"/>
          <w:sz w:val="24"/>
          <w:szCs w:val="24"/>
          <w:highlight w:val="none"/>
        </w:rPr>
        <w:t>（7）询价通知书有违反国家其他有关强制性规定的情形。</w:t>
      </w:r>
      <w:bookmarkEnd w:id="94"/>
      <w:bookmarkEnd w:id="95"/>
      <w:bookmarkEnd w:id="96"/>
      <w:bookmarkEnd w:id="97"/>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98" w:name="_Toc45884800"/>
      <w:bookmarkStart w:id="99" w:name="_Toc45884860"/>
      <w:bookmarkStart w:id="100" w:name="_Toc45884740"/>
      <w:bookmarkStart w:id="101" w:name="_Toc45884680"/>
      <w:r>
        <w:rPr>
          <w:rFonts w:hint="eastAsia" w:ascii="宋体" w:hAnsi="宋体" w:eastAsia="宋体"/>
          <w:b w:val="0"/>
          <w:color w:val="auto"/>
          <w:sz w:val="24"/>
          <w:szCs w:val="24"/>
          <w:highlight w:val="none"/>
        </w:rPr>
        <w:t>2.1.3 出现本条2.1.2规定应当停止评审情形的，询价小组应当向采购人书面说明情况。除本条规定的情形外，询价小组不得以任何方式和理由停止评审。</w:t>
      </w:r>
      <w:bookmarkEnd w:id="98"/>
      <w:bookmarkEnd w:id="99"/>
      <w:bookmarkEnd w:id="100"/>
      <w:bookmarkEnd w:id="101"/>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2.2资格审查。</w:t>
      </w:r>
    </w:p>
    <w:p>
      <w:pPr>
        <w:pStyle w:val="4"/>
        <w:keepNext w:val="0"/>
        <w:keepLines w:val="0"/>
        <w:spacing w:before="0" w:after="0" w:line="400" w:lineRule="exact"/>
        <w:ind w:firstLine="470" w:firstLineChars="196"/>
        <w:rPr>
          <w:rFonts w:hint="eastAsia" w:ascii="宋体" w:hAnsi="宋体"/>
          <w:b w:val="0"/>
          <w:color w:val="auto"/>
          <w:sz w:val="24"/>
          <w:highlight w:val="none"/>
        </w:rPr>
      </w:pPr>
      <w:bookmarkStart w:id="102" w:name="_Toc45884861"/>
      <w:bookmarkStart w:id="103" w:name="_Toc45884801"/>
      <w:bookmarkStart w:id="104" w:name="_Toc45884681"/>
      <w:bookmarkStart w:id="105" w:name="_Toc45884741"/>
      <w:r>
        <w:rPr>
          <w:rFonts w:hint="eastAsia" w:ascii="宋体" w:hAnsi="宋体" w:eastAsia="宋体"/>
          <w:b w:val="0"/>
          <w:color w:val="auto"/>
          <w:sz w:val="24"/>
          <w:szCs w:val="24"/>
          <w:highlight w:val="none"/>
        </w:rPr>
        <w:t>2.2.1本项目需要询价小组进行资格性检查。</w:t>
      </w:r>
      <w:bookmarkEnd w:id="102"/>
      <w:bookmarkEnd w:id="103"/>
      <w:bookmarkEnd w:id="104"/>
      <w:bookmarkEnd w:id="105"/>
    </w:p>
    <w:p>
      <w:pPr>
        <w:pStyle w:val="4"/>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106" w:name="_Toc45884862"/>
      <w:bookmarkStart w:id="107" w:name="_Toc45884742"/>
      <w:bookmarkStart w:id="108" w:name="_Toc45884682"/>
      <w:bookmarkStart w:id="109" w:name="_Toc45884802"/>
      <w:r>
        <w:rPr>
          <w:rFonts w:hint="eastAsia" w:ascii="宋体" w:hAnsi="宋体" w:eastAsia="宋体"/>
          <w:b w:val="0"/>
          <w:bCs w:val="0"/>
          <w:color w:val="auto"/>
          <w:sz w:val="24"/>
          <w:highlight w:val="none"/>
        </w:rPr>
        <w:t>2.2.2询价小组依据法律法规和询价通知书的规定，</w:t>
      </w:r>
      <w:r>
        <w:rPr>
          <w:rFonts w:hint="eastAsia" w:ascii="宋体" w:hAnsi="宋体" w:eastAsia="宋体"/>
          <w:b w:val="0"/>
          <w:color w:val="auto"/>
          <w:sz w:val="24"/>
          <w:szCs w:val="24"/>
          <w:highlight w:val="none"/>
        </w:rPr>
        <w:t>应依据法律法规和询价文件的规定，对响应文件是否按照规定要求提供资格性证明材料、是否属于禁止参加询价的供应商等进行审查，以确定供应商是否具备询价资格。</w:t>
      </w:r>
      <w:bookmarkEnd w:id="106"/>
      <w:bookmarkEnd w:id="107"/>
      <w:bookmarkEnd w:id="108"/>
      <w:bookmarkEnd w:id="109"/>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2.2.3询价小组资格审查结束后，应当出具资格审查报告，并按照询价通知书的规定确定参加询价的供应商名单。没有通过资格审查的供应商，询价小组应当在资格审查报告中说明原因。</w:t>
      </w:r>
    </w:p>
    <w:p>
      <w:pPr>
        <w:adjustRightInd w:val="0"/>
        <w:spacing w:line="480" w:lineRule="atLeast"/>
        <w:ind w:firstLine="512"/>
        <w:rPr>
          <w:rFonts w:hint="eastAsia" w:ascii="宋体" w:hAnsi="宋体"/>
          <w:bCs/>
          <w:color w:val="auto"/>
          <w:sz w:val="24"/>
          <w:highlight w:val="none"/>
        </w:rPr>
      </w:pPr>
      <w:r>
        <w:rPr>
          <w:rFonts w:hint="eastAsia" w:ascii="宋体" w:hAnsi="宋体"/>
          <w:bCs/>
          <w:color w:val="auto"/>
          <w:sz w:val="24"/>
          <w:highlight w:val="none"/>
        </w:rPr>
        <w:t>2.3响应文件审查。</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2.4一次性报价。</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2.4.1询价小组对供应商响应文件审查结束后，应当要求所有实质性响应的供应商在规定时间内按照询价通知书的规定一次报出不得更改的价格。</w:t>
      </w:r>
    </w:p>
    <w:p>
      <w:pPr>
        <w:pStyle w:val="2"/>
        <w:rPr>
          <w:rFonts w:hint="default" w:eastAsia="宋体"/>
          <w:lang w:val="en-US" w:eastAsia="zh-CN"/>
        </w:rPr>
      </w:pPr>
      <w:r>
        <w:rPr>
          <w:rFonts w:hint="eastAsia" w:ascii="宋体" w:hAnsi="宋体"/>
          <w:bCs/>
          <w:color w:val="auto"/>
          <w:sz w:val="24"/>
          <w:highlight w:val="none"/>
          <w:lang w:val="en-US" w:eastAsia="zh-CN"/>
        </w:rPr>
        <w:t xml:space="preserve">   </w:t>
      </w:r>
      <w:r>
        <w:rPr>
          <w:rFonts w:hint="eastAsia" w:ascii="宋体" w:hAnsi="宋体"/>
          <w:b/>
          <w:bCs w:val="0"/>
          <w:color w:val="auto"/>
          <w:sz w:val="24"/>
          <w:highlight w:val="none"/>
          <w:lang w:val="en-US" w:eastAsia="zh-CN"/>
        </w:rPr>
        <w:t>注：本项目要求供应商在响应文件中报出</w:t>
      </w:r>
      <w:r>
        <w:rPr>
          <w:rFonts w:hint="eastAsia" w:ascii="宋体" w:hAnsi="宋体"/>
          <w:b/>
          <w:bCs w:val="0"/>
          <w:color w:val="auto"/>
          <w:sz w:val="24"/>
          <w:highlight w:val="none"/>
        </w:rPr>
        <w:t>一次报出不得更改的价格</w:t>
      </w:r>
    </w:p>
    <w:p>
      <w:pPr>
        <w:spacing w:line="400" w:lineRule="exact"/>
        <w:ind w:firstLine="480" w:firstLineChars="200"/>
        <w:rPr>
          <w:rFonts w:hint="eastAsia"/>
          <w:color w:val="auto"/>
          <w:sz w:val="24"/>
          <w:highlight w:val="none"/>
        </w:rPr>
      </w:pPr>
      <w:r>
        <w:rPr>
          <w:rFonts w:hint="eastAsia" w:ascii="宋体" w:hAnsi="宋体"/>
          <w:bCs/>
          <w:color w:val="auto"/>
          <w:sz w:val="24"/>
          <w:highlight w:val="none"/>
        </w:rPr>
        <w:t>2.4.2</w:t>
      </w:r>
      <w:r>
        <w:rPr>
          <w:rFonts w:hint="eastAsia"/>
          <w:color w:val="auto"/>
          <w:sz w:val="24"/>
          <w:highlight w:val="none"/>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2.5复核。</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供应商报价结束后，询价小组应当进行评审复核，对拟推荐为成交候选供应商的、报价最低的、供应商资格审查未通过的、供应商被无效处理的重点复核。</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2.6推荐成交候选供应商。</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成交候选供应商应当排序。询价小组复核结束后，应当按照供应商的报价由低到高排序，推荐成交候选供应商。</w:t>
      </w:r>
      <w:r>
        <w:rPr>
          <w:rFonts w:hint="eastAsia" w:ascii="Times New Roman" w:hAnsi="Times New Roman" w:eastAsia="宋体" w:cs="Times New Roman"/>
          <w:color w:val="auto"/>
          <w:sz w:val="24"/>
          <w:highlight w:val="none"/>
        </w:rPr>
        <w:t>供应商报价相同，成交候选供应商并列</w:t>
      </w:r>
      <w:r>
        <w:rPr>
          <w:rFonts w:hint="eastAsia" w:ascii="Times New Roman" w:hAnsi="Times New Roman" w:eastAsia="宋体" w:cs="Times New Roman"/>
          <w:color w:val="auto"/>
          <w:sz w:val="24"/>
          <w:highlight w:val="none"/>
          <w:lang w:val="en-US" w:eastAsia="zh-CN"/>
        </w:rPr>
        <w:t>的</w:t>
      </w:r>
      <w:r>
        <w:rPr>
          <w:rFonts w:hint="eastAsia" w:ascii="Times New Roman" w:hAnsi="Times New Roman" w:eastAsia="宋体" w:cs="Times New Roman"/>
          <w:color w:val="auto"/>
          <w:sz w:val="24"/>
          <w:highlight w:val="none"/>
        </w:rPr>
        <w:t>，并列第一名的供应商</w:t>
      </w:r>
      <w:r>
        <w:rPr>
          <w:rFonts w:hint="eastAsia" w:ascii="Times New Roman" w:hAnsi="Times New Roman" w:eastAsia="宋体" w:cs="Times New Roman"/>
          <w:color w:val="auto"/>
          <w:sz w:val="24"/>
          <w:highlight w:val="none"/>
          <w:lang w:val="en-US" w:eastAsia="zh-CN"/>
        </w:rPr>
        <w:t>按照</w:t>
      </w:r>
      <w:r>
        <w:rPr>
          <w:rFonts w:hint="eastAsia" w:ascii="Times New Roman" w:hAnsi="Times New Roman" w:eastAsia="宋体" w:cs="Times New Roman"/>
          <w:color w:val="auto"/>
          <w:sz w:val="24"/>
          <w:highlight w:val="none"/>
        </w:rPr>
        <w:t>注册地在</w:t>
      </w:r>
      <w:r>
        <w:rPr>
          <w:rFonts w:hint="eastAsia" w:ascii="Times New Roman" w:hAnsi="Times New Roman" w:eastAsia="宋体" w:cs="Times New Roman"/>
          <w:color w:val="auto"/>
          <w:sz w:val="24"/>
          <w:highlight w:val="none"/>
          <w:lang w:val="zh-CN"/>
        </w:rPr>
        <w:t>不发达地区</w:t>
      </w:r>
      <w:r>
        <w:rPr>
          <w:rFonts w:hint="eastAsia" w:ascii="Times New Roman" w:hAnsi="Times New Roman" w:eastAsia="宋体" w:cs="Times New Roman"/>
          <w:color w:val="auto"/>
          <w:sz w:val="24"/>
          <w:highlight w:val="none"/>
          <w:lang w:val="en-US" w:eastAsia="zh-CN"/>
        </w:rPr>
        <w:t>和</w:t>
      </w:r>
      <w:r>
        <w:rPr>
          <w:rFonts w:hint="eastAsia" w:ascii="Times New Roman" w:hAnsi="Times New Roman" w:eastAsia="宋体" w:cs="Times New Roman"/>
          <w:color w:val="auto"/>
          <w:sz w:val="24"/>
          <w:highlight w:val="none"/>
        </w:rPr>
        <w:t>少数民族地区的</w:t>
      </w:r>
      <w:r>
        <w:rPr>
          <w:rFonts w:hint="eastAsia" w:ascii="Times New Roman" w:hAnsi="Times New Roman" w:eastAsia="宋体" w:cs="Times New Roman"/>
          <w:color w:val="auto"/>
          <w:sz w:val="24"/>
          <w:highlight w:val="none"/>
          <w:lang w:val="en-US" w:eastAsia="zh-CN"/>
        </w:rPr>
        <w:t>供应商优先</w:t>
      </w:r>
      <w:r>
        <w:rPr>
          <w:rFonts w:hint="eastAsia" w:ascii="Times New Roman" w:hAnsi="Times New Roman" w:eastAsia="宋体" w:cs="Times New Roman"/>
          <w:color w:val="auto"/>
          <w:sz w:val="24"/>
          <w:highlight w:val="none"/>
        </w:rPr>
        <w:t>的顺序</w:t>
      </w:r>
      <w:r>
        <w:rPr>
          <w:rFonts w:hint="eastAsia" w:ascii="Times New Roman" w:hAnsi="Times New Roman" w:eastAsia="宋体" w:cs="Times New Roman"/>
          <w:color w:val="auto"/>
          <w:sz w:val="24"/>
          <w:highlight w:val="none"/>
          <w:lang w:val="en-US" w:eastAsia="zh-CN"/>
        </w:rPr>
        <w:t>推荐。</w:t>
      </w:r>
      <w:r>
        <w:rPr>
          <w:rFonts w:hint="eastAsia" w:ascii="Times New Roman" w:hAnsi="Times New Roman" w:eastAsia="宋体" w:cs="Times New Roman"/>
          <w:color w:val="auto"/>
          <w:sz w:val="24"/>
          <w:highlight w:val="none"/>
        </w:rPr>
        <w:t>最后报价相同且</w:t>
      </w:r>
      <w:r>
        <w:rPr>
          <w:rFonts w:hint="eastAsia" w:ascii="Times New Roman" w:hAnsi="Times New Roman" w:eastAsia="宋体" w:cs="Times New Roman"/>
          <w:color w:val="auto"/>
          <w:sz w:val="24"/>
          <w:highlight w:val="none"/>
          <w:lang w:val="en-US" w:eastAsia="zh-CN"/>
        </w:rPr>
        <w:t>同属</w:t>
      </w:r>
      <w:r>
        <w:rPr>
          <w:rFonts w:hint="eastAsia" w:ascii="Times New Roman" w:hAnsi="Times New Roman" w:eastAsia="宋体" w:cs="Times New Roman"/>
          <w:color w:val="auto"/>
          <w:sz w:val="24"/>
          <w:highlight w:val="none"/>
        </w:rPr>
        <w:t>注册地在</w:t>
      </w:r>
      <w:r>
        <w:rPr>
          <w:rFonts w:hint="eastAsia" w:ascii="Times New Roman" w:hAnsi="Times New Roman" w:eastAsia="宋体" w:cs="Times New Roman"/>
          <w:color w:val="auto"/>
          <w:sz w:val="24"/>
          <w:highlight w:val="none"/>
          <w:lang w:val="zh-CN"/>
        </w:rPr>
        <w:t>不发达地区</w:t>
      </w:r>
      <w:r>
        <w:rPr>
          <w:rFonts w:hint="eastAsia" w:ascii="Times New Roman" w:hAnsi="Times New Roman" w:eastAsia="宋体" w:cs="Times New Roman"/>
          <w:color w:val="auto"/>
          <w:sz w:val="24"/>
          <w:highlight w:val="none"/>
          <w:lang w:val="en-US" w:eastAsia="zh-CN"/>
        </w:rPr>
        <w:t>和少数民族地区的</w:t>
      </w:r>
      <w:r>
        <w:rPr>
          <w:rFonts w:hint="eastAsia" w:ascii="Times New Roman" w:hAnsi="Times New Roman" w:eastAsia="宋体" w:cs="Times New Roman"/>
          <w:color w:val="auto"/>
          <w:sz w:val="24"/>
          <w:highlight w:val="none"/>
        </w:rPr>
        <w:t>成交候选供应商并列，由采购人</w:t>
      </w:r>
      <w:r>
        <w:rPr>
          <w:rFonts w:hint="eastAsia" w:ascii="Times New Roman" w:hAnsi="Times New Roman" w:eastAsia="宋体" w:cs="Times New Roman"/>
          <w:color w:val="auto"/>
          <w:sz w:val="24"/>
          <w:highlight w:val="none"/>
          <w:lang w:val="en-US" w:eastAsia="zh-CN"/>
        </w:rPr>
        <w:t>或</w:t>
      </w:r>
      <w:r>
        <w:rPr>
          <w:rFonts w:hint="eastAsia" w:ascii="Times New Roman" w:hAnsi="Times New Roman" w:eastAsia="宋体" w:cs="Times New Roman"/>
          <w:color w:val="auto"/>
          <w:sz w:val="24"/>
          <w:highlight w:val="none"/>
        </w:rPr>
        <w:t>随机抽签确定成交供应商</w:t>
      </w:r>
      <w:r>
        <w:rPr>
          <w:rFonts w:hint="eastAsia" w:ascii="Times New Roman" w:hAnsi="Times New Roman" w:eastAsia="宋体" w:cs="Times New Roman"/>
          <w:color w:val="auto"/>
          <w:sz w:val="24"/>
          <w:highlight w:val="none"/>
          <w:lang w:val="en-US" w:eastAsia="zh-CN"/>
        </w:rPr>
        <w:t>或</w:t>
      </w:r>
      <w:r>
        <w:rPr>
          <w:rFonts w:hint="eastAsia" w:ascii="Times New Roman" w:hAnsi="Times New Roman" w:eastAsia="宋体" w:cs="Times New Roman"/>
          <w:color w:val="auto"/>
          <w:sz w:val="24"/>
          <w:highlight w:val="none"/>
        </w:rPr>
        <w:t>由采购人自主采取公平择优的方式选择成交供应商。</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2.7现场复核</w:t>
      </w:r>
    </w:p>
    <w:p>
      <w:pPr>
        <w:spacing w:line="400" w:lineRule="exact"/>
        <w:ind w:firstLine="480" w:firstLineChars="200"/>
        <w:rPr>
          <w:rFonts w:hint="eastAsia"/>
          <w:color w:val="auto"/>
          <w:sz w:val="24"/>
          <w:highlight w:val="none"/>
        </w:rPr>
      </w:pPr>
      <w:r>
        <w:rPr>
          <w:rFonts w:hint="eastAsia" w:ascii="宋体" w:hAnsi="宋体"/>
          <w:color w:val="auto"/>
          <w:sz w:val="24"/>
          <w:highlight w:val="none"/>
        </w:rPr>
        <w:t>2.7.1</w:t>
      </w:r>
      <w:r>
        <w:rPr>
          <w:rFonts w:hint="eastAsia"/>
          <w:color w:val="auto"/>
          <w:sz w:val="24"/>
          <w:highlight w:val="none"/>
        </w:rPr>
        <w:t>推荐</w:t>
      </w:r>
      <w:r>
        <w:rPr>
          <w:rFonts w:hint="eastAsia" w:ascii="宋体" w:hAnsi="宋体"/>
          <w:bCs/>
          <w:color w:val="auto"/>
          <w:sz w:val="24"/>
          <w:highlight w:val="none"/>
        </w:rPr>
        <w:t>成交候选供应商</w:t>
      </w:r>
      <w:r>
        <w:rPr>
          <w:rFonts w:hint="eastAsia"/>
          <w:color w:val="auto"/>
          <w:sz w:val="24"/>
          <w:highlight w:val="none"/>
        </w:rPr>
        <w:t>后，询价小组拟出具询价报告前，采购人应当组织2名以上的本单位工作人员，在采购现场监督人员的监督之下，依据有关的法律制度和询价通知书对评审结果进行复核，出具复核报告，存在资格性审查认定错误的，采购人应当根据情况书面建议询价小组现场修改评审结果。由询价小组自主决定是否采纳采购人/的书面建议，并承担独立评审责任。询价小组采纳采购人书面建议的，应当按照规定现场修改评审结果或者重新评审，并在询价报告中详细记载有关事宜；不采纳采购人/书面建议的，应当书面说明理由。采购人书面建议未被询价小组采纳的，应当接照规定程序要求继续组织实施采购活动，不得擅自中止采购活动。采购人认为询价小组评审结果不合法的，应当书面报告采购项目同级财政部门。</w:t>
      </w:r>
    </w:p>
    <w:p>
      <w:pPr>
        <w:spacing w:line="400" w:lineRule="exact"/>
        <w:ind w:firstLine="480" w:firstLineChars="200"/>
        <w:rPr>
          <w:rFonts w:hint="eastAsia"/>
          <w:color w:val="auto"/>
          <w:sz w:val="24"/>
          <w:highlight w:val="none"/>
        </w:rPr>
      </w:pPr>
      <w:r>
        <w:rPr>
          <w:rFonts w:hint="eastAsia"/>
          <w:color w:val="auto"/>
          <w:sz w:val="24"/>
          <w:highlight w:val="none"/>
        </w:rPr>
        <w:t>采购人复核过程中，询价小组成员不得离开评审现场。</w:t>
      </w:r>
    </w:p>
    <w:p>
      <w:pPr>
        <w:spacing w:line="400" w:lineRule="exact"/>
        <w:ind w:firstLine="480" w:firstLineChars="200"/>
        <w:rPr>
          <w:rFonts w:hint="eastAsia"/>
          <w:color w:val="auto"/>
          <w:sz w:val="24"/>
          <w:highlight w:val="none"/>
        </w:rPr>
      </w:pPr>
      <w:r>
        <w:rPr>
          <w:rFonts w:hint="eastAsia" w:ascii="宋体" w:hAnsi="宋体"/>
          <w:color w:val="auto"/>
          <w:sz w:val="24"/>
          <w:highlight w:val="none"/>
        </w:rPr>
        <w:t>2.7.2</w:t>
      </w:r>
      <w:r>
        <w:rPr>
          <w:rFonts w:hint="eastAsia"/>
          <w:color w:val="auto"/>
          <w:sz w:val="24"/>
          <w:highlight w:val="none"/>
        </w:rPr>
        <w:t>有下列情形之一的，不得现场修改评审结果：</w:t>
      </w:r>
    </w:p>
    <w:p>
      <w:pPr>
        <w:spacing w:line="400" w:lineRule="exact"/>
        <w:ind w:firstLine="480" w:firstLineChars="200"/>
        <w:rPr>
          <w:rFonts w:hint="eastAsia"/>
          <w:color w:val="auto"/>
          <w:sz w:val="24"/>
          <w:highlight w:val="none"/>
        </w:rPr>
      </w:pPr>
      <w:r>
        <w:rPr>
          <w:rFonts w:hint="eastAsia"/>
          <w:color w:val="auto"/>
          <w:sz w:val="24"/>
          <w:highlight w:val="none"/>
        </w:rPr>
        <w:t>（1）询价小组已经出具询价报告并且离开评审现场的；</w:t>
      </w:r>
    </w:p>
    <w:p>
      <w:pPr>
        <w:spacing w:line="400" w:lineRule="exact"/>
        <w:ind w:firstLine="480" w:firstLineChars="200"/>
        <w:rPr>
          <w:rFonts w:hint="eastAsia"/>
          <w:color w:val="auto"/>
          <w:sz w:val="24"/>
          <w:highlight w:val="none"/>
        </w:rPr>
      </w:pPr>
      <w:r>
        <w:rPr>
          <w:rFonts w:hint="eastAsia"/>
          <w:color w:val="auto"/>
          <w:sz w:val="24"/>
          <w:highlight w:val="none"/>
        </w:rPr>
        <w:t>（2）采购人现场复核时，复核工作人员数量不足的；</w:t>
      </w:r>
    </w:p>
    <w:p>
      <w:pPr>
        <w:spacing w:line="400" w:lineRule="exact"/>
        <w:ind w:firstLine="480" w:firstLineChars="200"/>
        <w:rPr>
          <w:rFonts w:hint="eastAsia"/>
          <w:color w:val="auto"/>
          <w:sz w:val="24"/>
          <w:highlight w:val="none"/>
        </w:rPr>
      </w:pPr>
      <w:r>
        <w:rPr>
          <w:rFonts w:hint="eastAsia"/>
          <w:color w:val="auto"/>
          <w:sz w:val="24"/>
          <w:highlight w:val="none"/>
        </w:rPr>
        <w:t>（3）采购人现场复核时，没有采购监督人员现场监督的；</w:t>
      </w:r>
    </w:p>
    <w:p>
      <w:pPr>
        <w:spacing w:line="400" w:lineRule="exact"/>
        <w:ind w:firstLine="480" w:firstLineChars="200"/>
        <w:rPr>
          <w:rFonts w:hint="eastAsia"/>
          <w:color w:val="auto"/>
          <w:sz w:val="24"/>
          <w:highlight w:val="none"/>
        </w:rPr>
      </w:pPr>
      <w:r>
        <w:rPr>
          <w:rFonts w:hint="eastAsia"/>
          <w:color w:val="auto"/>
          <w:sz w:val="24"/>
          <w:highlight w:val="none"/>
        </w:rPr>
        <w:t>（4）采购人现场复核内容超出规定范围的；</w:t>
      </w:r>
    </w:p>
    <w:p>
      <w:pPr>
        <w:spacing w:line="400" w:lineRule="exact"/>
        <w:ind w:firstLine="480" w:firstLineChars="200"/>
        <w:rPr>
          <w:rFonts w:hint="eastAsia"/>
          <w:color w:val="auto"/>
          <w:sz w:val="24"/>
          <w:highlight w:val="none"/>
        </w:rPr>
      </w:pPr>
      <w:r>
        <w:rPr>
          <w:rFonts w:hint="eastAsia"/>
          <w:color w:val="auto"/>
          <w:sz w:val="24"/>
          <w:highlight w:val="none"/>
        </w:rPr>
        <w:t>（5）采购人未提供书面建议的。</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2.8出具询价报告。询价报告应当包括下列内容：</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2.9询价小组在询价过程中，不得改变询价通知书所确定的技术和服务等要求、评审程序、评定成交的标准和合同文本等事项。</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2.10供应商资格审查应当以有关法律法规和采购文件为依据，审查范围不能超过法律法规和询价通知书中对供应商的资格条件要求。</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2.11有失信行为记入诚信档案且在有效期内的供应商，实行10%的报价加成，以加成后报价作为该供应商报价评审。因其失信行为进行报价加成惩戒后报价超过政府采购预算的，其响应文件按照无效处理。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供应商参加政府采购活动时，应当就自己的诚信情况在响应文件中进行承诺或注明。</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2.12 在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40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供应商书面说明应当签字确认或者加盖公章，否则无效。</w:t>
      </w:r>
    </w:p>
    <w:p>
      <w:pPr>
        <w:adjustRightInd w:val="0"/>
        <w:snapToGrid w:val="0"/>
        <w:spacing w:line="40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14</w:t>
      </w:r>
      <w:r>
        <w:rPr>
          <w:rFonts w:hint="eastAsia" w:ascii="宋体" w:hAnsi="宋体"/>
          <w:bCs/>
          <w:color w:val="auto"/>
          <w:sz w:val="24"/>
          <w:highlight w:val="none"/>
        </w:rPr>
        <w:t xml:space="preserve"> 供应商在报价过程中，不得串通。发现供应商存在串通的，询价小组应将其响应文件作无效处理。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15</w:t>
      </w:r>
      <w:r>
        <w:rPr>
          <w:rFonts w:hint="eastAsia" w:ascii="宋体" w:hAnsi="宋体"/>
          <w:bCs/>
          <w:color w:val="auto"/>
          <w:sz w:val="24"/>
          <w:highlight w:val="none"/>
        </w:rPr>
        <w:t>出现下列情形之一的，终止询价采购活动：</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（一）因情况变化，不再符合规定的询价采购方式适用情形的；</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（二）出现影响采购公正的违法、违规行为的；</w:t>
      </w:r>
    </w:p>
    <w:p>
      <w:pPr>
        <w:adjustRightInd w:val="0"/>
        <w:snapToGrid w:val="0"/>
        <w:spacing w:line="400" w:lineRule="exact"/>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（三）在采购过程中符合竞争要求的供应商或者报价未超过采购预算的供应商不足3家的。</w:t>
      </w:r>
    </w:p>
    <w:p>
      <w:pPr>
        <w:adjustRightInd w:val="0"/>
        <w:snapToGrid w:val="0"/>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3.评审纪律</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3.1询价小组在采购活动过程中，应当按照《中华人民共和国政府采购法实施条例》、《政府采购非招标采购方式管理办法》的规定履行职责和义务，不得违法评审、违反评审工作纪律。</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3.2评审过程在严格保密的情况下进行，任何单位和个人不得非法干预、影响询价过程和结果。</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3.3询价小组成员以及与评审工作有关的人员不得泄露评审情况以及评审过程中获悉的国家秘密、商业秘密。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3.4询价小组成员应当遵守下列工作纪律：</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（一）遵行《政府采购法》第十二条和《政府采购法实施条例》第九条及财政部关于回避的规定。</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（二）评审前，应当将通讯工具或者相关电子设备交由采购组织单位统一保管。</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（三）评审过程中，不得与外界联系，因发生不可预见情况，确实需要与外界联系的，应当在监督人员监督之下办理。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（五）在评审过程中和评审结束后，不得记录、复制或带走任何评审资料，除因履行法律法规规定的义务外，不得向外界透露评审内容。</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（六）服从评审现场采购组织单位的现场秩序管理，接受评审现场监督人员的合法监督。</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（七）遵守有关廉洁自律规定，不得私下接触供应商，不得收受供应商及有关业务单位和个人的财物或好处，不得接受采购组织单位的请托。</w:t>
      </w:r>
    </w:p>
    <w:p>
      <w:pPr>
        <w:numPr>
          <w:ilvl w:val="0"/>
          <w:numId w:val="0"/>
        </w:numPr>
        <w:rPr>
          <w:rFonts w:hint="eastAsia"/>
        </w:rPr>
      </w:pPr>
    </w:p>
    <w:sectPr>
      <w:footerReference r:id="rId3" w:type="default"/>
      <w:pgSz w:w="11906" w:h="16838"/>
      <w:pgMar w:top="1276" w:right="1440" w:bottom="1134" w:left="1474" w:header="851" w:footer="85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C3A1492-090B-4DD9-AC03-4DF3233366BC}"/>
  </w:font>
  <w:font w:name="黑体">
    <w:panose1 w:val="02010609060101010101"/>
    <w:charset w:val="86"/>
    <w:family w:val="auto"/>
    <w:pitch w:val="default"/>
    <w:sig w:usb0="800002BF" w:usb1="38CF7CFA" w:usb2="00000016" w:usb3="00000000" w:csb0="00040001" w:csb1="00000000"/>
    <w:embedRegular r:id="rId2" w:fontKey="{C383371A-462C-4B3A-A4E6-AD26A8C82E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3" w:fontKey="{D93D1EF3-8F3B-475A-896A-38BA3F69E83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embedRegular r:id="rId4" w:fontKey="{9ACB030D-F1E6-4314-AFA1-27A1BD6B8C9B}"/>
  </w:font>
  <w:font w:name="方正小标宋简体">
    <w:panose1 w:val="02000000000000000000"/>
    <w:charset w:val="86"/>
    <w:family w:val="script"/>
    <w:pitch w:val="default"/>
    <w:sig w:usb0="00000001" w:usb1="08000000" w:usb2="00000000" w:usb3="00000000" w:csb0="00040000" w:csb1="00000000"/>
    <w:embedRegular r:id="rId5" w:fontKey="{466510C3-8250-448A-BCF9-D56F5EC8DF50}"/>
  </w:font>
  <w:font w:name="楷体">
    <w:panose1 w:val="02010609060101010101"/>
    <w:charset w:val="86"/>
    <w:family w:val="modern"/>
    <w:pitch w:val="default"/>
    <w:sig w:usb0="800002BF" w:usb1="38CF7CFA" w:usb2="00000016" w:usb3="00000000" w:csb0="00040001" w:csb1="00000000"/>
    <w:embedRegular r:id="rId6" w:fontKey="{1ADE867E-198F-4E5B-976C-11E2FCFBC98F}"/>
  </w:font>
  <w:font w:name="华文中宋">
    <w:panose1 w:val="02010600040101010101"/>
    <w:charset w:val="86"/>
    <w:family w:val="auto"/>
    <w:pitch w:val="default"/>
    <w:sig w:usb0="00000287" w:usb1="080F0000" w:usb2="00000000" w:usb3="00000000" w:csb0="0004009F" w:csb1="DFD70000"/>
    <w:embedRegular r:id="rId7" w:fontKey="{3667F649-096D-4C72-8E43-2498FE36E298}"/>
  </w:font>
  <w:font w:name="仿宋">
    <w:panose1 w:val="02010609060101010101"/>
    <w:charset w:val="86"/>
    <w:family w:val="modern"/>
    <w:pitch w:val="default"/>
    <w:sig w:usb0="800002BF" w:usb1="38CF7CFA" w:usb2="00000016" w:usb3="00000000" w:csb0="00040001" w:csb1="00000000"/>
    <w:embedRegular r:id="rId8" w:fontKey="{2FA383E0-0337-4DE8-B872-D52E9352F6D5}"/>
  </w:font>
  <w:font w:name="等线 Light">
    <w:panose1 w:val="02010600030101010101"/>
    <w:charset w:val="86"/>
    <w:family w:val="auto"/>
    <w:pitch w:val="default"/>
    <w:sig w:usb0="A00002BF" w:usb1="38CF7CFA" w:usb2="00000016" w:usb3="00000000" w:csb0="0004000F" w:csb1="00000000"/>
    <w:embedRegular r:id="rId9" w:fontKey="{9CAE25CF-6D03-4D75-B7C3-C8EB60AD31A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ascii="等线 Light" w:hAnsi="等线 Light" w:eastAsia="等线 Light"/>
        <w:szCs w:val="18"/>
      </w:rPr>
    </w:pPr>
    <w:r>
      <w:rPr>
        <w:rFonts w:ascii="等线 Light" w:hAnsi="等线 Light" w:eastAsia="等线 Light"/>
        <w:szCs w:val="18"/>
        <w:lang w:val="zh-CN"/>
      </w:rPr>
      <w:t xml:space="preserve">~ </w:t>
    </w:r>
    <w:r>
      <w:rPr>
        <w:rFonts w:ascii="等线" w:hAnsi="等线" w:eastAsia="等线"/>
        <w:szCs w:val="18"/>
      </w:rPr>
      <w:fldChar w:fldCharType="begin"/>
    </w:r>
    <w:r>
      <w:rPr>
        <w:szCs w:val="18"/>
      </w:rPr>
      <w:instrText xml:space="preserve">PAGE    \* MERGEFORMAT</w:instrText>
    </w:r>
    <w:r>
      <w:rPr>
        <w:rFonts w:ascii="等线" w:hAnsi="等线" w:eastAsia="等线"/>
        <w:szCs w:val="18"/>
      </w:rPr>
      <w:fldChar w:fldCharType="separate"/>
    </w:r>
    <w:r>
      <w:rPr>
        <w:rFonts w:ascii="等线 Light" w:hAnsi="等线 Light" w:eastAsia="等线 Light"/>
        <w:szCs w:val="18"/>
        <w:lang w:val="zh-CN"/>
      </w:rPr>
      <w:t>1</w:t>
    </w:r>
    <w:r>
      <w:rPr>
        <w:rFonts w:ascii="等线 Light" w:hAnsi="等线 Light" w:eastAsia="等线 Light"/>
        <w:szCs w:val="18"/>
      </w:rPr>
      <w:fldChar w:fldCharType="end"/>
    </w:r>
    <w:r>
      <w:rPr>
        <w:rFonts w:ascii="等线 Light" w:hAnsi="等线 Light" w:eastAsia="等线 Light"/>
        <w:szCs w:val="18"/>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1CD69"/>
    <w:multiLevelType w:val="singleLevel"/>
    <w:tmpl w:val="DEE1CD69"/>
    <w:lvl w:ilvl="0" w:tentative="0">
      <w:start w:val="1"/>
      <w:numFmt w:val="decimal"/>
      <w:suff w:val="nothing"/>
      <w:lvlText w:val="%1、"/>
      <w:lvlJc w:val="left"/>
    </w:lvl>
  </w:abstractNum>
  <w:abstractNum w:abstractNumId="1">
    <w:nsid w:val="E51FF5EC"/>
    <w:multiLevelType w:val="singleLevel"/>
    <w:tmpl w:val="E51FF5EC"/>
    <w:lvl w:ilvl="0" w:tentative="0">
      <w:start w:val="1"/>
      <w:numFmt w:val="decimal"/>
      <w:lvlText w:val="%1."/>
      <w:lvlJc w:val="left"/>
      <w:pPr>
        <w:tabs>
          <w:tab w:val="left" w:pos="312"/>
        </w:tabs>
      </w:pPr>
    </w:lvl>
  </w:abstractNum>
  <w:abstractNum w:abstractNumId="2">
    <w:nsid w:val="FBC01437"/>
    <w:multiLevelType w:val="singleLevel"/>
    <w:tmpl w:val="FBC01437"/>
    <w:lvl w:ilvl="0" w:tentative="0">
      <w:start w:val="4"/>
      <w:numFmt w:val="decimal"/>
      <w:suff w:val="nothing"/>
      <w:lvlText w:val="%1、"/>
      <w:lvlJc w:val="left"/>
    </w:lvl>
  </w:abstractNum>
  <w:abstractNum w:abstractNumId="3">
    <w:nsid w:val="299EB028"/>
    <w:multiLevelType w:val="singleLevel"/>
    <w:tmpl w:val="299EB028"/>
    <w:lvl w:ilvl="0" w:tentative="0">
      <w:start w:val="1"/>
      <w:numFmt w:val="decimal"/>
      <w:lvlText w:val="（%1)"/>
      <w:lvlJc w:val="left"/>
      <w:pPr>
        <w:tabs>
          <w:tab w:val="left" w:pos="312"/>
        </w:tabs>
        <w:ind w:left="480" w:firstLine="0"/>
      </w:pPr>
    </w:lvl>
  </w:abstractNum>
  <w:abstractNum w:abstractNumId="4">
    <w:nsid w:val="5025EDC7"/>
    <w:multiLevelType w:val="singleLevel"/>
    <w:tmpl w:val="5025EDC7"/>
    <w:lvl w:ilvl="0" w:tentative="0">
      <w:start w:val="7"/>
      <w:numFmt w:val="chineseCounting"/>
      <w:suff w:val="space"/>
      <w:lvlText w:val="第%1章"/>
      <w:lvlJc w:val="left"/>
      <w:rPr>
        <w:rFonts w:hint="eastAsia"/>
      </w:rPr>
    </w:lvl>
  </w:abstractNum>
  <w:abstractNum w:abstractNumId="5">
    <w:nsid w:val="783CABB2"/>
    <w:multiLevelType w:val="singleLevel"/>
    <w:tmpl w:val="783CABB2"/>
    <w:lvl w:ilvl="0" w:tentative="0">
      <w:start w:val="18"/>
      <w:numFmt w:val="decimal"/>
      <w:suff w:val="nothing"/>
      <w:lvlText w:val="%1、"/>
      <w:lvlJc w:val="left"/>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TliZDdhOWNmYjc0NjNhYjViMmNlYjQ0NDQxMDcifQ=="/>
  </w:docVars>
  <w:rsids>
    <w:rsidRoot w:val="526F6364"/>
    <w:rsid w:val="00000507"/>
    <w:rsid w:val="00000BCF"/>
    <w:rsid w:val="00000D78"/>
    <w:rsid w:val="00002A3A"/>
    <w:rsid w:val="00020A84"/>
    <w:rsid w:val="00024473"/>
    <w:rsid w:val="00024B87"/>
    <w:rsid w:val="0002566D"/>
    <w:rsid w:val="000322F9"/>
    <w:rsid w:val="00032BAE"/>
    <w:rsid w:val="0003753E"/>
    <w:rsid w:val="00044578"/>
    <w:rsid w:val="000473C7"/>
    <w:rsid w:val="00052263"/>
    <w:rsid w:val="000552F4"/>
    <w:rsid w:val="0005544E"/>
    <w:rsid w:val="00057F32"/>
    <w:rsid w:val="000621FE"/>
    <w:rsid w:val="000622A3"/>
    <w:rsid w:val="00070753"/>
    <w:rsid w:val="00071289"/>
    <w:rsid w:val="00075B1F"/>
    <w:rsid w:val="00077E77"/>
    <w:rsid w:val="0008077D"/>
    <w:rsid w:val="000902D1"/>
    <w:rsid w:val="00096FB2"/>
    <w:rsid w:val="00097801"/>
    <w:rsid w:val="000A0B3C"/>
    <w:rsid w:val="000B0B8D"/>
    <w:rsid w:val="000B46B8"/>
    <w:rsid w:val="000C1A85"/>
    <w:rsid w:val="000D4A3F"/>
    <w:rsid w:val="000D4F32"/>
    <w:rsid w:val="000D5823"/>
    <w:rsid w:val="000E07F5"/>
    <w:rsid w:val="000E1AB7"/>
    <w:rsid w:val="000F21A6"/>
    <w:rsid w:val="000F6350"/>
    <w:rsid w:val="000F7CC4"/>
    <w:rsid w:val="00100D0B"/>
    <w:rsid w:val="001046C5"/>
    <w:rsid w:val="00110110"/>
    <w:rsid w:val="001255CE"/>
    <w:rsid w:val="0012664E"/>
    <w:rsid w:val="001303B9"/>
    <w:rsid w:val="001304BA"/>
    <w:rsid w:val="00130987"/>
    <w:rsid w:val="00130AD6"/>
    <w:rsid w:val="001335FB"/>
    <w:rsid w:val="001416D0"/>
    <w:rsid w:val="00141B48"/>
    <w:rsid w:val="00142CBF"/>
    <w:rsid w:val="00144BD4"/>
    <w:rsid w:val="00150FE2"/>
    <w:rsid w:val="00151BF0"/>
    <w:rsid w:val="001524C3"/>
    <w:rsid w:val="00166D52"/>
    <w:rsid w:val="00177056"/>
    <w:rsid w:val="00177A44"/>
    <w:rsid w:val="00184C57"/>
    <w:rsid w:val="00192DD8"/>
    <w:rsid w:val="001B2D5E"/>
    <w:rsid w:val="001B7882"/>
    <w:rsid w:val="001C55BC"/>
    <w:rsid w:val="001C5BF0"/>
    <w:rsid w:val="001C7512"/>
    <w:rsid w:val="001D4383"/>
    <w:rsid w:val="001E1B4B"/>
    <w:rsid w:val="001E200E"/>
    <w:rsid w:val="001F0EB4"/>
    <w:rsid w:val="001F1A84"/>
    <w:rsid w:val="001F4561"/>
    <w:rsid w:val="00210FDF"/>
    <w:rsid w:val="00211221"/>
    <w:rsid w:val="0021330E"/>
    <w:rsid w:val="00225E23"/>
    <w:rsid w:val="00230C79"/>
    <w:rsid w:val="0023102C"/>
    <w:rsid w:val="00240845"/>
    <w:rsid w:val="00243F8A"/>
    <w:rsid w:val="00252952"/>
    <w:rsid w:val="00261DA7"/>
    <w:rsid w:val="002620DF"/>
    <w:rsid w:val="0026312E"/>
    <w:rsid w:val="002634EF"/>
    <w:rsid w:val="002638CD"/>
    <w:rsid w:val="00272DEE"/>
    <w:rsid w:val="00275409"/>
    <w:rsid w:val="002814CA"/>
    <w:rsid w:val="00281D71"/>
    <w:rsid w:val="00290B41"/>
    <w:rsid w:val="00291426"/>
    <w:rsid w:val="0029730C"/>
    <w:rsid w:val="002A1D48"/>
    <w:rsid w:val="002A3F4A"/>
    <w:rsid w:val="002C2332"/>
    <w:rsid w:val="002C3435"/>
    <w:rsid w:val="002C7148"/>
    <w:rsid w:val="002C7E13"/>
    <w:rsid w:val="002D2B0D"/>
    <w:rsid w:val="002E5166"/>
    <w:rsid w:val="002E5491"/>
    <w:rsid w:val="002F1B0A"/>
    <w:rsid w:val="002F2627"/>
    <w:rsid w:val="002F3D71"/>
    <w:rsid w:val="00304F74"/>
    <w:rsid w:val="0031667C"/>
    <w:rsid w:val="00317A67"/>
    <w:rsid w:val="00317D92"/>
    <w:rsid w:val="00322497"/>
    <w:rsid w:val="00322594"/>
    <w:rsid w:val="0032504F"/>
    <w:rsid w:val="0032548C"/>
    <w:rsid w:val="003255F9"/>
    <w:rsid w:val="00327A4F"/>
    <w:rsid w:val="00332A04"/>
    <w:rsid w:val="00341D69"/>
    <w:rsid w:val="00345BA9"/>
    <w:rsid w:val="00351E10"/>
    <w:rsid w:val="003616E4"/>
    <w:rsid w:val="00370669"/>
    <w:rsid w:val="003730C9"/>
    <w:rsid w:val="00374430"/>
    <w:rsid w:val="00374B77"/>
    <w:rsid w:val="00374BB5"/>
    <w:rsid w:val="00380225"/>
    <w:rsid w:val="0038052C"/>
    <w:rsid w:val="003821F6"/>
    <w:rsid w:val="00382900"/>
    <w:rsid w:val="00384D56"/>
    <w:rsid w:val="003958E3"/>
    <w:rsid w:val="003A2255"/>
    <w:rsid w:val="003A2912"/>
    <w:rsid w:val="003A4269"/>
    <w:rsid w:val="003B32D7"/>
    <w:rsid w:val="003B422D"/>
    <w:rsid w:val="003C4D71"/>
    <w:rsid w:val="003D19E1"/>
    <w:rsid w:val="003D52F9"/>
    <w:rsid w:val="003E013A"/>
    <w:rsid w:val="003E3212"/>
    <w:rsid w:val="003E3362"/>
    <w:rsid w:val="003E4E4B"/>
    <w:rsid w:val="003E71D5"/>
    <w:rsid w:val="003F25F6"/>
    <w:rsid w:val="003F39A9"/>
    <w:rsid w:val="0041014E"/>
    <w:rsid w:val="00411B48"/>
    <w:rsid w:val="00412010"/>
    <w:rsid w:val="00415B66"/>
    <w:rsid w:val="004173E3"/>
    <w:rsid w:val="0042518F"/>
    <w:rsid w:val="00430E72"/>
    <w:rsid w:val="00431AEB"/>
    <w:rsid w:val="00431F5C"/>
    <w:rsid w:val="0044361F"/>
    <w:rsid w:val="004454D7"/>
    <w:rsid w:val="00445CA2"/>
    <w:rsid w:val="00451808"/>
    <w:rsid w:val="00456B28"/>
    <w:rsid w:val="00465584"/>
    <w:rsid w:val="004659F4"/>
    <w:rsid w:val="00466999"/>
    <w:rsid w:val="004700C8"/>
    <w:rsid w:val="00472CA7"/>
    <w:rsid w:val="00476612"/>
    <w:rsid w:val="00480012"/>
    <w:rsid w:val="004807D9"/>
    <w:rsid w:val="00480C72"/>
    <w:rsid w:val="004811A1"/>
    <w:rsid w:val="00486FC6"/>
    <w:rsid w:val="0049094E"/>
    <w:rsid w:val="00491004"/>
    <w:rsid w:val="00493C6B"/>
    <w:rsid w:val="00495F28"/>
    <w:rsid w:val="004A4DAE"/>
    <w:rsid w:val="004A575F"/>
    <w:rsid w:val="004A708E"/>
    <w:rsid w:val="004B015C"/>
    <w:rsid w:val="004B0A8B"/>
    <w:rsid w:val="004B3941"/>
    <w:rsid w:val="004B5B87"/>
    <w:rsid w:val="004B7D80"/>
    <w:rsid w:val="004C3681"/>
    <w:rsid w:val="004C377C"/>
    <w:rsid w:val="004C47DF"/>
    <w:rsid w:val="004C6121"/>
    <w:rsid w:val="004D1BD2"/>
    <w:rsid w:val="004D2EDF"/>
    <w:rsid w:val="004E1B7B"/>
    <w:rsid w:val="004E6FF3"/>
    <w:rsid w:val="004E7666"/>
    <w:rsid w:val="004F236C"/>
    <w:rsid w:val="004F2898"/>
    <w:rsid w:val="004F317F"/>
    <w:rsid w:val="004F40B1"/>
    <w:rsid w:val="004F7E0A"/>
    <w:rsid w:val="00503572"/>
    <w:rsid w:val="00504526"/>
    <w:rsid w:val="00524B70"/>
    <w:rsid w:val="005265DC"/>
    <w:rsid w:val="00526F88"/>
    <w:rsid w:val="005319B7"/>
    <w:rsid w:val="00533CCC"/>
    <w:rsid w:val="005432B0"/>
    <w:rsid w:val="00546DA6"/>
    <w:rsid w:val="00547F80"/>
    <w:rsid w:val="00551A1C"/>
    <w:rsid w:val="005612C9"/>
    <w:rsid w:val="00565278"/>
    <w:rsid w:val="005668F2"/>
    <w:rsid w:val="00571C70"/>
    <w:rsid w:val="0057476D"/>
    <w:rsid w:val="00575DED"/>
    <w:rsid w:val="00577E77"/>
    <w:rsid w:val="00584B7F"/>
    <w:rsid w:val="00595214"/>
    <w:rsid w:val="005956D5"/>
    <w:rsid w:val="00596461"/>
    <w:rsid w:val="005A1941"/>
    <w:rsid w:val="005A3F43"/>
    <w:rsid w:val="005B0F32"/>
    <w:rsid w:val="005B29D8"/>
    <w:rsid w:val="005B2D98"/>
    <w:rsid w:val="005D2A0D"/>
    <w:rsid w:val="005D446E"/>
    <w:rsid w:val="005D4A52"/>
    <w:rsid w:val="005D7B92"/>
    <w:rsid w:val="005E1650"/>
    <w:rsid w:val="005E1E89"/>
    <w:rsid w:val="005E2FE3"/>
    <w:rsid w:val="005E7F51"/>
    <w:rsid w:val="005F0043"/>
    <w:rsid w:val="005F4719"/>
    <w:rsid w:val="005F4AF7"/>
    <w:rsid w:val="00601CBA"/>
    <w:rsid w:val="0060577E"/>
    <w:rsid w:val="00616137"/>
    <w:rsid w:val="00622352"/>
    <w:rsid w:val="006235E8"/>
    <w:rsid w:val="006235FF"/>
    <w:rsid w:val="00624875"/>
    <w:rsid w:val="00630394"/>
    <w:rsid w:val="00641467"/>
    <w:rsid w:val="006414FB"/>
    <w:rsid w:val="00642E1E"/>
    <w:rsid w:val="00644159"/>
    <w:rsid w:val="00645569"/>
    <w:rsid w:val="00652B4D"/>
    <w:rsid w:val="00654725"/>
    <w:rsid w:val="00657F53"/>
    <w:rsid w:val="00660319"/>
    <w:rsid w:val="006611FB"/>
    <w:rsid w:val="006656E4"/>
    <w:rsid w:val="006678FC"/>
    <w:rsid w:val="00670CF2"/>
    <w:rsid w:val="00677058"/>
    <w:rsid w:val="006916CC"/>
    <w:rsid w:val="00692A5D"/>
    <w:rsid w:val="006944D6"/>
    <w:rsid w:val="006A4C97"/>
    <w:rsid w:val="006C4F34"/>
    <w:rsid w:val="006E2DF3"/>
    <w:rsid w:val="006E5AAA"/>
    <w:rsid w:val="006F259C"/>
    <w:rsid w:val="006F305D"/>
    <w:rsid w:val="006F4036"/>
    <w:rsid w:val="006F5917"/>
    <w:rsid w:val="006F5929"/>
    <w:rsid w:val="00701691"/>
    <w:rsid w:val="00712510"/>
    <w:rsid w:val="007205BD"/>
    <w:rsid w:val="00732E6E"/>
    <w:rsid w:val="00737772"/>
    <w:rsid w:val="00744D53"/>
    <w:rsid w:val="0075261B"/>
    <w:rsid w:val="00763F93"/>
    <w:rsid w:val="00772733"/>
    <w:rsid w:val="007774FA"/>
    <w:rsid w:val="0078599E"/>
    <w:rsid w:val="00790E41"/>
    <w:rsid w:val="00790EA2"/>
    <w:rsid w:val="0079248C"/>
    <w:rsid w:val="007A0AC8"/>
    <w:rsid w:val="007A44CE"/>
    <w:rsid w:val="007A64C6"/>
    <w:rsid w:val="007B1E58"/>
    <w:rsid w:val="007B32D0"/>
    <w:rsid w:val="007B4CA0"/>
    <w:rsid w:val="007B510E"/>
    <w:rsid w:val="007B6423"/>
    <w:rsid w:val="007C4572"/>
    <w:rsid w:val="007C54B8"/>
    <w:rsid w:val="007E104C"/>
    <w:rsid w:val="007E3753"/>
    <w:rsid w:val="007F64AD"/>
    <w:rsid w:val="007F704C"/>
    <w:rsid w:val="00801FF5"/>
    <w:rsid w:val="00803B7F"/>
    <w:rsid w:val="00804AE7"/>
    <w:rsid w:val="008053A2"/>
    <w:rsid w:val="00805F36"/>
    <w:rsid w:val="00806619"/>
    <w:rsid w:val="00810152"/>
    <w:rsid w:val="00822837"/>
    <w:rsid w:val="008273FD"/>
    <w:rsid w:val="0084600D"/>
    <w:rsid w:val="008476E2"/>
    <w:rsid w:val="00854A2E"/>
    <w:rsid w:val="0085567A"/>
    <w:rsid w:val="008724DA"/>
    <w:rsid w:val="008821D3"/>
    <w:rsid w:val="0088359B"/>
    <w:rsid w:val="0088793D"/>
    <w:rsid w:val="008A2213"/>
    <w:rsid w:val="008A3A62"/>
    <w:rsid w:val="008A5E65"/>
    <w:rsid w:val="008A661B"/>
    <w:rsid w:val="008B015F"/>
    <w:rsid w:val="008B4E37"/>
    <w:rsid w:val="008C254C"/>
    <w:rsid w:val="008C2DD0"/>
    <w:rsid w:val="008C35AD"/>
    <w:rsid w:val="008C53B7"/>
    <w:rsid w:val="008D2625"/>
    <w:rsid w:val="008D301D"/>
    <w:rsid w:val="008E1F45"/>
    <w:rsid w:val="008E2237"/>
    <w:rsid w:val="008F7114"/>
    <w:rsid w:val="008F7638"/>
    <w:rsid w:val="009367C0"/>
    <w:rsid w:val="00936BF3"/>
    <w:rsid w:val="00942688"/>
    <w:rsid w:val="0094492B"/>
    <w:rsid w:val="009516EE"/>
    <w:rsid w:val="00952AA2"/>
    <w:rsid w:val="009549D2"/>
    <w:rsid w:val="00962C43"/>
    <w:rsid w:val="00970AED"/>
    <w:rsid w:val="0097685B"/>
    <w:rsid w:val="009821D5"/>
    <w:rsid w:val="00985ADF"/>
    <w:rsid w:val="00987328"/>
    <w:rsid w:val="00992300"/>
    <w:rsid w:val="00996522"/>
    <w:rsid w:val="00996971"/>
    <w:rsid w:val="009A2699"/>
    <w:rsid w:val="009A2FAE"/>
    <w:rsid w:val="009A4C17"/>
    <w:rsid w:val="009B01A7"/>
    <w:rsid w:val="009B040A"/>
    <w:rsid w:val="009B4E00"/>
    <w:rsid w:val="009B6FDA"/>
    <w:rsid w:val="009B7C75"/>
    <w:rsid w:val="009C142C"/>
    <w:rsid w:val="009C6E92"/>
    <w:rsid w:val="009C7FC0"/>
    <w:rsid w:val="009D0599"/>
    <w:rsid w:val="009D15EB"/>
    <w:rsid w:val="009D2234"/>
    <w:rsid w:val="009D5CDF"/>
    <w:rsid w:val="009D67A7"/>
    <w:rsid w:val="009E0C3E"/>
    <w:rsid w:val="009F11CF"/>
    <w:rsid w:val="009F49F7"/>
    <w:rsid w:val="009F57BE"/>
    <w:rsid w:val="009F5B34"/>
    <w:rsid w:val="009F7F65"/>
    <w:rsid w:val="00A014EF"/>
    <w:rsid w:val="00A06244"/>
    <w:rsid w:val="00A06E99"/>
    <w:rsid w:val="00A071C6"/>
    <w:rsid w:val="00A13A1E"/>
    <w:rsid w:val="00A2145C"/>
    <w:rsid w:val="00A23B48"/>
    <w:rsid w:val="00A25ACF"/>
    <w:rsid w:val="00A34354"/>
    <w:rsid w:val="00A3771B"/>
    <w:rsid w:val="00A42051"/>
    <w:rsid w:val="00A42BAC"/>
    <w:rsid w:val="00A43971"/>
    <w:rsid w:val="00A463C3"/>
    <w:rsid w:val="00A47554"/>
    <w:rsid w:val="00A51205"/>
    <w:rsid w:val="00A52038"/>
    <w:rsid w:val="00A56861"/>
    <w:rsid w:val="00A67279"/>
    <w:rsid w:val="00A677BC"/>
    <w:rsid w:val="00A67B6B"/>
    <w:rsid w:val="00A704B2"/>
    <w:rsid w:val="00A82AAA"/>
    <w:rsid w:val="00A869D2"/>
    <w:rsid w:val="00AA139F"/>
    <w:rsid w:val="00AA2C4E"/>
    <w:rsid w:val="00AA43F7"/>
    <w:rsid w:val="00AB0C36"/>
    <w:rsid w:val="00AB587F"/>
    <w:rsid w:val="00AB5D61"/>
    <w:rsid w:val="00AC189A"/>
    <w:rsid w:val="00AC66A0"/>
    <w:rsid w:val="00AC7138"/>
    <w:rsid w:val="00AD051D"/>
    <w:rsid w:val="00AE1F07"/>
    <w:rsid w:val="00AE2B8E"/>
    <w:rsid w:val="00AE30AC"/>
    <w:rsid w:val="00AE4A0D"/>
    <w:rsid w:val="00AF41BA"/>
    <w:rsid w:val="00AF7E4F"/>
    <w:rsid w:val="00B01282"/>
    <w:rsid w:val="00B10FC3"/>
    <w:rsid w:val="00B211B7"/>
    <w:rsid w:val="00B2587B"/>
    <w:rsid w:val="00B27709"/>
    <w:rsid w:val="00B31024"/>
    <w:rsid w:val="00B3111B"/>
    <w:rsid w:val="00B3745E"/>
    <w:rsid w:val="00B375B6"/>
    <w:rsid w:val="00B41561"/>
    <w:rsid w:val="00B42F1B"/>
    <w:rsid w:val="00B53A52"/>
    <w:rsid w:val="00B56CF8"/>
    <w:rsid w:val="00B67F5A"/>
    <w:rsid w:val="00B70156"/>
    <w:rsid w:val="00B7360E"/>
    <w:rsid w:val="00B73CC5"/>
    <w:rsid w:val="00B83AB1"/>
    <w:rsid w:val="00B85634"/>
    <w:rsid w:val="00B85CF8"/>
    <w:rsid w:val="00B96DF3"/>
    <w:rsid w:val="00BB228E"/>
    <w:rsid w:val="00BB6639"/>
    <w:rsid w:val="00BC7FC1"/>
    <w:rsid w:val="00BD2AFF"/>
    <w:rsid w:val="00BD31B6"/>
    <w:rsid w:val="00BD7DD0"/>
    <w:rsid w:val="00BF6DF6"/>
    <w:rsid w:val="00BF776B"/>
    <w:rsid w:val="00C017E1"/>
    <w:rsid w:val="00C039F1"/>
    <w:rsid w:val="00C1139A"/>
    <w:rsid w:val="00C1277A"/>
    <w:rsid w:val="00C15887"/>
    <w:rsid w:val="00C16DA5"/>
    <w:rsid w:val="00C20374"/>
    <w:rsid w:val="00C2193D"/>
    <w:rsid w:val="00C34F1E"/>
    <w:rsid w:val="00C35C75"/>
    <w:rsid w:val="00C36885"/>
    <w:rsid w:val="00C40E50"/>
    <w:rsid w:val="00C460A6"/>
    <w:rsid w:val="00C53DD6"/>
    <w:rsid w:val="00C55D7B"/>
    <w:rsid w:val="00C6516B"/>
    <w:rsid w:val="00C658B2"/>
    <w:rsid w:val="00C71482"/>
    <w:rsid w:val="00C7755D"/>
    <w:rsid w:val="00C77D11"/>
    <w:rsid w:val="00C80012"/>
    <w:rsid w:val="00C8018B"/>
    <w:rsid w:val="00C842C7"/>
    <w:rsid w:val="00C86796"/>
    <w:rsid w:val="00C93BBB"/>
    <w:rsid w:val="00C95F53"/>
    <w:rsid w:val="00CA431E"/>
    <w:rsid w:val="00CA56B6"/>
    <w:rsid w:val="00CA6046"/>
    <w:rsid w:val="00CB19A9"/>
    <w:rsid w:val="00CB57E2"/>
    <w:rsid w:val="00CC2337"/>
    <w:rsid w:val="00CC2B6D"/>
    <w:rsid w:val="00CD26E9"/>
    <w:rsid w:val="00CD363D"/>
    <w:rsid w:val="00CD4132"/>
    <w:rsid w:val="00CE3CFC"/>
    <w:rsid w:val="00CE638F"/>
    <w:rsid w:val="00CE71DE"/>
    <w:rsid w:val="00D00125"/>
    <w:rsid w:val="00D03184"/>
    <w:rsid w:val="00D03952"/>
    <w:rsid w:val="00D07C8E"/>
    <w:rsid w:val="00D10FE6"/>
    <w:rsid w:val="00D14F98"/>
    <w:rsid w:val="00D158DF"/>
    <w:rsid w:val="00D16838"/>
    <w:rsid w:val="00D177D7"/>
    <w:rsid w:val="00D26D57"/>
    <w:rsid w:val="00D30B9F"/>
    <w:rsid w:val="00D36163"/>
    <w:rsid w:val="00D37253"/>
    <w:rsid w:val="00D376DB"/>
    <w:rsid w:val="00D44F92"/>
    <w:rsid w:val="00D52473"/>
    <w:rsid w:val="00D53A86"/>
    <w:rsid w:val="00D55830"/>
    <w:rsid w:val="00D57463"/>
    <w:rsid w:val="00D57C62"/>
    <w:rsid w:val="00D618ED"/>
    <w:rsid w:val="00D67024"/>
    <w:rsid w:val="00D70AC5"/>
    <w:rsid w:val="00D80758"/>
    <w:rsid w:val="00D80EA2"/>
    <w:rsid w:val="00D83164"/>
    <w:rsid w:val="00D835A1"/>
    <w:rsid w:val="00D8537E"/>
    <w:rsid w:val="00D90825"/>
    <w:rsid w:val="00DA0A89"/>
    <w:rsid w:val="00DA6DF8"/>
    <w:rsid w:val="00DB0848"/>
    <w:rsid w:val="00DB3C13"/>
    <w:rsid w:val="00DC268F"/>
    <w:rsid w:val="00DC3CA3"/>
    <w:rsid w:val="00DC3D52"/>
    <w:rsid w:val="00DC6056"/>
    <w:rsid w:val="00DC6952"/>
    <w:rsid w:val="00DE0F62"/>
    <w:rsid w:val="00DE244A"/>
    <w:rsid w:val="00DF122E"/>
    <w:rsid w:val="00DF29DD"/>
    <w:rsid w:val="00E0361C"/>
    <w:rsid w:val="00E07390"/>
    <w:rsid w:val="00E108D7"/>
    <w:rsid w:val="00E16C2C"/>
    <w:rsid w:val="00E245C9"/>
    <w:rsid w:val="00E30C70"/>
    <w:rsid w:val="00E314B8"/>
    <w:rsid w:val="00E40310"/>
    <w:rsid w:val="00E41E0C"/>
    <w:rsid w:val="00E4233A"/>
    <w:rsid w:val="00E462F9"/>
    <w:rsid w:val="00E56A86"/>
    <w:rsid w:val="00E76CD1"/>
    <w:rsid w:val="00E77E91"/>
    <w:rsid w:val="00E8262E"/>
    <w:rsid w:val="00E9187A"/>
    <w:rsid w:val="00E91D66"/>
    <w:rsid w:val="00E92DAC"/>
    <w:rsid w:val="00E93696"/>
    <w:rsid w:val="00E96134"/>
    <w:rsid w:val="00EA1078"/>
    <w:rsid w:val="00EA6213"/>
    <w:rsid w:val="00EA7143"/>
    <w:rsid w:val="00EC064C"/>
    <w:rsid w:val="00EC0A2F"/>
    <w:rsid w:val="00EC12B7"/>
    <w:rsid w:val="00EC1D93"/>
    <w:rsid w:val="00EC4460"/>
    <w:rsid w:val="00EC6423"/>
    <w:rsid w:val="00ED163A"/>
    <w:rsid w:val="00EE1914"/>
    <w:rsid w:val="00EE5DDA"/>
    <w:rsid w:val="00EE626F"/>
    <w:rsid w:val="00EE638F"/>
    <w:rsid w:val="00EF0DDA"/>
    <w:rsid w:val="00EF3BE7"/>
    <w:rsid w:val="00EF4C44"/>
    <w:rsid w:val="00F04FEA"/>
    <w:rsid w:val="00F202BB"/>
    <w:rsid w:val="00F21562"/>
    <w:rsid w:val="00F2501E"/>
    <w:rsid w:val="00F354CE"/>
    <w:rsid w:val="00F377C6"/>
    <w:rsid w:val="00F37EA8"/>
    <w:rsid w:val="00F4028A"/>
    <w:rsid w:val="00F443B3"/>
    <w:rsid w:val="00F45772"/>
    <w:rsid w:val="00F477B6"/>
    <w:rsid w:val="00F5316A"/>
    <w:rsid w:val="00F60815"/>
    <w:rsid w:val="00F809A7"/>
    <w:rsid w:val="00F93E2D"/>
    <w:rsid w:val="00F95FE4"/>
    <w:rsid w:val="00F97425"/>
    <w:rsid w:val="00FA0A97"/>
    <w:rsid w:val="00FA4909"/>
    <w:rsid w:val="00FA5EA0"/>
    <w:rsid w:val="00FA6FF5"/>
    <w:rsid w:val="00FB4796"/>
    <w:rsid w:val="00FC3D8C"/>
    <w:rsid w:val="00FC6F18"/>
    <w:rsid w:val="00FD7B37"/>
    <w:rsid w:val="00FE3BE9"/>
    <w:rsid w:val="00FE417E"/>
    <w:rsid w:val="00FF357E"/>
    <w:rsid w:val="011C682F"/>
    <w:rsid w:val="02290C40"/>
    <w:rsid w:val="02EA486F"/>
    <w:rsid w:val="031A4C4D"/>
    <w:rsid w:val="03A33BDB"/>
    <w:rsid w:val="03A75A0D"/>
    <w:rsid w:val="0501554E"/>
    <w:rsid w:val="05DE6E6B"/>
    <w:rsid w:val="0736411F"/>
    <w:rsid w:val="08123F24"/>
    <w:rsid w:val="089F59D8"/>
    <w:rsid w:val="092E7E5D"/>
    <w:rsid w:val="0A8F0921"/>
    <w:rsid w:val="0B254A7F"/>
    <w:rsid w:val="0C7C550B"/>
    <w:rsid w:val="0D1B3D08"/>
    <w:rsid w:val="0D1B6ACE"/>
    <w:rsid w:val="0D1F2E29"/>
    <w:rsid w:val="0E6C5CE4"/>
    <w:rsid w:val="0F4470B9"/>
    <w:rsid w:val="0F7E5AC7"/>
    <w:rsid w:val="105A290D"/>
    <w:rsid w:val="10E102DB"/>
    <w:rsid w:val="10F730EB"/>
    <w:rsid w:val="11E22B0C"/>
    <w:rsid w:val="123A1057"/>
    <w:rsid w:val="127A7296"/>
    <w:rsid w:val="12A33801"/>
    <w:rsid w:val="1444343B"/>
    <w:rsid w:val="146F33BB"/>
    <w:rsid w:val="150452C6"/>
    <w:rsid w:val="15175270"/>
    <w:rsid w:val="18317183"/>
    <w:rsid w:val="19664E0E"/>
    <w:rsid w:val="19A5070F"/>
    <w:rsid w:val="1AFA0904"/>
    <w:rsid w:val="1B1A5EBB"/>
    <w:rsid w:val="1B530684"/>
    <w:rsid w:val="1B8A0A55"/>
    <w:rsid w:val="1C2205F0"/>
    <w:rsid w:val="1C2E66A0"/>
    <w:rsid w:val="1C3E1334"/>
    <w:rsid w:val="1C4E77C9"/>
    <w:rsid w:val="1CD502AB"/>
    <w:rsid w:val="20097D08"/>
    <w:rsid w:val="20CA3197"/>
    <w:rsid w:val="21676C37"/>
    <w:rsid w:val="2382123E"/>
    <w:rsid w:val="23AB3753"/>
    <w:rsid w:val="23BB77E8"/>
    <w:rsid w:val="2405724D"/>
    <w:rsid w:val="2483298E"/>
    <w:rsid w:val="24DB3943"/>
    <w:rsid w:val="24DC0A73"/>
    <w:rsid w:val="257162D7"/>
    <w:rsid w:val="25A42208"/>
    <w:rsid w:val="27811DEF"/>
    <w:rsid w:val="27C546B8"/>
    <w:rsid w:val="27D41A2A"/>
    <w:rsid w:val="280408C2"/>
    <w:rsid w:val="28111BFB"/>
    <w:rsid w:val="28EF10E3"/>
    <w:rsid w:val="298630C0"/>
    <w:rsid w:val="2A655E8F"/>
    <w:rsid w:val="2B5129A7"/>
    <w:rsid w:val="2BA271EA"/>
    <w:rsid w:val="2CAD167A"/>
    <w:rsid w:val="2CC22769"/>
    <w:rsid w:val="2D24747D"/>
    <w:rsid w:val="2D5A6794"/>
    <w:rsid w:val="2E8B2A47"/>
    <w:rsid w:val="2EDF3A41"/>
    <w:rsid w:val="2F1C3757"/>
    <w:rsid w:val="2FC802C9"/>
    <w:rsid w:val="30C71FFD"/>
    <w:rsid w:val="31010CD8"/>
    <w:rsid w:val="312069F6"/>
    <w:rsid w:val="317C153A"/>
    <w:rsid w:val="31E6403F"/>
    <w:rsid w:val="32863F86"/>
    <w:rsid w:val="3323752C"/>
    <w:rsid w:val="336927FC"/>
    <w:rsid w:val="33D36FA2"/>
    <w:rsid w:val="3567744A"/>
    <w:rsid w:val="35EB306D"/>
    <w:rsid w:val="38F77CE6"/>
    <w:rsid w:val="397747EC"/>
    <w:rsid w:val="3B5B6BA7"/>
    <w:rsid w:val="3BE70C49"/>
    <w:rsid w:val="3D411883"/>
    <w:rsid w:val="3DBE6337"/>
    <w:rsid w:val="3EAB4DDF"/>
    <w:rsid w:val="3EFF3808"/>
    <w:rsid w:val="40EE65D6"/>
    <w:rsid w:val="421C087A"/>
    <w:rsid w:val="423948A5"/>
    <w:rsid w:val="42643940"/>
    <w:rsid w:val="427F0774"/>
    <w:rsid w:val="42D33069"/>
    <w:rsid w:val="44C05F92"/>
    <w:rsid w:val="44C4775D"/>
    <w:rsid w:val="4607616F"/>
    <w:rsid w:val="464E08CE"/>
    <w:rsid w:val="48B97CF3"/>
    <w:rsid w:val="48C95146"/>
    <w:rsid w:val="49A06BBA"/>
    <w:rsid w:val="4A7A5B4D"/>
    <w:rsid w:val="4AD4075E"/>
    <w:rsid w:val="4B520226"/>
    <w:rsid w:val="4BD83BC5"/>
    <w:rsid w:val="4BED0A01"/>
    <w:rsid w:val="4CB67393"/>
    <w:rsid w:val="4D843796"/>
    <w:rsid w:val="4DB96E83"/>
    <w:rsid w:val="4DD3727F"/>
    <w:rsid w:val="4DDA7A14"/>
    <w:rsid w:val="4E1D2A1D"/>
    <w:rsid w:val="4F215E5C"/>
    <w:rsid w:val="510F6820"/>
    <w:rsid w:val="526F6364"/>
    <w:rsid w:val="52AE6067"/>
    <w:rsid w:val="52DB4C0C"/>
    <w:rsid w:val="53743C02"/>
    <w:rsid w:val="54977258"/>
    <w:rsid w:val="559F686B"/>
    <w:rsid w:val="56C64021"/>
    <w:rsid w:val="573A14EC"/>
    <w:rsid w:val="574D00A2"/>
    <w:rsid w:val="576E72C3"/>
    <w:rsid w:val="589D399C"/>
    <w:rsid w:val="5991465F"/>
    <w:rsid w:val="59D6612D"/>
    <w:rsid w:val="5A7836E3"/>
    <w:rsid w:val="5D0555C8"/>
    <w:rsid w:val="5D577DB5"/>
    <w:rsid w:val="5E8F2044"/>
    <w:rsid w:val="5EF26392"/>
    <w:rsid w:val="6095357C"/>
    <w:rsid w:val="61734BA9"/>
    <w:rsid w:val="61E3130B"/>
    <w:rsid w:val="61FE41C5"/>
    <w:rsid w:val="622C0575"/>
    <w:rsid w:val="623233E2"/>
    <w:rsid w:val="62555DDD"/>
    <w:rsid w:val="62AC1589"/>
    <w:rsid w:val="640A3025"/>
    <w:rsid w:val="65845EA9"/>
    <w:rsid w:val="65FA7DD1"/>
    <w:rsid w:val="660808AC"/>
    <w:rsid w:val="66666FD0"/>
    <w:rsid w:val="672654B9"/>
    <w:rsid w:val="674D26EA"/>
    <w:rsid w:val="67961B02"/>
    <w:rsid w:val="679C4F8C"/>
    <w:rsid w:val="68FD2751"/>
    <w:rsid w:val="693B23E1"/>
    <w:rsid w:val="696D476E"/>
    <w:rsid w:val="698D37AE"/>
    <w:rsid w:val="6A142E3B"/>
    <w:rsid w:val="6A497893"/>
    <w:rsid w:val="6A810B34"/>
    <w:rsid w:val="6AD44053"/>
    <w:rsid w:val="6B16490B"/>
    <w:rsid w:val="6BF33277"/>
    <w:rsid w:val="6C215337"/>
    <w:rsid w:val="6D884C8B"/>
    <w:rsid w:val="6F180807"/>
    <w:rsid w:val="6F3B101A"/>
    <w:rsid w:val="6FE24E2E"/>
    <w:rsid w:val="709F5073"/>
    <w:rsid w:val="710E3112"/>
    <w:rsid w:val="71353C29"/>
    <w:rsid w:val="714D5692"/>
    <w:rsid w:val="71924D30"/>
    <w:rsid w:val="7229553C"/>
    <w:rsid w:val="724D0BD4"/>
    <w:rsid w:val="725B146D"/>
    <w:rsid w:val="72AF5315"/>
    <w:rsid w:val="73E7455D"/>
    <w:rsid w:val="749B64D7"/>
    <w:rsid w:val="74B51309"/>
    <w:rsid w:val="75DA233C"/>
    <w:rsid w:val="775A7212"/>
    <w:rsid w:val="777C7EBC"/>
    <w:rsid w:val="77814D32"/>
    <w:rsid w:val="78185C40"/>
    <w:rsid w:val="78287B58"/>
    <w:rsid w:val="78760CA1"/>
    <w:rsid w:val="79145CD1"/>
    <w:rsid w:val="7A436160"/>
    <w:rsid w:val="7A9026CE"/>
    <w:rsid w:val="7B071AD2"/>
    <w:rsid w:val="7B783004"/>
    <w:rsid w:val="7BB73621"/>
    <w:rsid w:val="7C093CE8"/>
    <w:rsid w:val="7C2C1355"/>
    <w:rsid w:val="7C5675A3"/>
    <w:rsid w:val="7C654DB1"/>
    <w:rsid w:val="7D672B53"/>
    <w:rsid w:val="7D755889"/>
    <w:rsid w:val="7D7C6F14"/>
    <w:rsid w:val="7DD47F63"/>
    <w:rsid w:val="7DDB69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adjustRightInd w:val="0"/>
      <w:snapToGrid w:val="0"/>
      <w:spacing w:before="120" w:after="120"/>
      <w:jc w:val="center"/>
      <w:outlineLvl w:val="0"/>
    </w:pPr>
    <w:rPr>
      <w:b/>
      <w:bCs/>
      <w:kern w:val="44"/>
      <w:sz w:val="36"/>
      <w:szCs w:val="44"/>
    </w:rPr>
  </w:style>
  <w:style w:type="paragraph" w:styleId="4">
    <w:name w:val="heading 2"/>
    <w:basedOn w:val="1"/>
    <w:next w:val="1"/>
    <w:link w:val="44"/>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5"/>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1">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Body Text"/>
    <w:basedOn w:val="1"/>
    <w:link w:val="42"/>
    <w:qFormat/>
    <w:uiPriority w:val="0"/>
    <w:pPr>
      <w:spacing w:after="120"/>
    </w:pPr>
    <w:rPr>
      <w:kern w:val="0"/>
      <w:sz w:val="20"/>
    </w:rPr>
  </w:style>
  <w:style w:type="paragraph" w:styleId="7">
    <w:name w:val="toc 7"/>
    <w:basedOn w:val="1"/>
    <w:next w:val="1"/>
    <w:unhideWhenUsed/>
    <w:qFormat/>
    <w:uiPriority w:val="39"/>
    <w:pPr>
      <w:ind w:left="2520" w:leftChars="1200"/>
    </w:pPr>
    <w:rPr>
      <w:rFonts w:ascii="Calibri" w:hAnsi="Calibri"/>
      <w:szCs w:val="22"/>
    </w:rPr>
  </w:style>
  <w:style w:type="paragraph" w:styleId="8">
    <w:name w:val="Normal Indent"/>
    <w:basedOn w:val="1"/>
    <w:link w:val="46"/>
    <w:qFormat/>
    <w:uiPriority w:val="0"/>
    <w:pPr>
      <w:ind w:firstLine="420" w:firstLineChars="200"/>
    </w:pPr>
    <w:rPr>
      <w:kern w:val="0"/>
      <w:sz w:val="20"/>
    </w:rPr>
  </w:style>
  <w:style w:type="paragraph" w:styleId="9">
    <w:name w:val="Document Map"/>
    <w:basedOn w:val="1"/>
    <w:link w:val="47"/>
    <w:qFormat/>
    <w:uiPriority w:val="0"/>
    <w:rPr>
      <w:rFonts w:ascii="宋体"/>
      <w:kern w:val="0"/>
      <w:sz w:val="18"/>
      <w:szCs w:val="18"/>
    </w:rPr>
  </w:style>
  <w:style w:type="paragraph" w:styleId="10">
    <w:name w:val="annotation text"/>
    <w:basedOn w:val="1"/>
    <w:link w:val="48"/>
    <w:qFormat/>
    <w:uiPriority w:val="0"/>
    <w:pPr>
      <w:jc w:val="left"/>
    </w:pPr>
    <w:rPr>
      <w:kern w:val="0"/>
      <w:sz w:val="18"/>
      <w:szCs w:val="20"/>
    </w:rPr>
  </w:style>
  <w:style w:type="paragraph" w:styleId="11">
    <w:name w:val="Body Text Indent"/>
    <w:basedOn w:val="1"/>
    <w:link w:val="49"/>
    <w:qFormat/>
    <w:uiPriority w:val="0"/>
    <w:pPr>
      <w:ind w:firstLine="630"/>
    </w:pPr>
    <w:rPr>
      <w:kern w:val="0"/>
      <w:sz w:val="32"/>
      <w:szCs w:val="20"/>
    </w:rPr>
  </w:style>
  <w:style w:type="paragraph" w:styleId="12">
    <w:name w:val="toc 5"/>
    <w:basedOn w:val="1"/>
    <w:next w:val="1"/>
    <w:unhideWhenUsed/>
    <w:qFormat/>
    <w:uiPriority w:val="39"/>
    <w:pPr>
      <w:ind w:left="1680" w:leftChars="800"/>
    </w:pPr>
    <w:rPr>
      <w:rFonts w:ascii="Calibri" w:hAnsi="Calibri"/>
      <w:szCs w:val="22"/>
    </w:rPr>
  </w:style>
  <w:style w:type="paragraph" w:styleId="13">
    <w:name w:val="toc 3"/>
    <w:basedOn w:val="1"/>
    <w:next w:val="1"/>
    <w:qFormat/>
    <w:uiPriority w:val="39"/>
    <w:pPr>
      <w:ind w:left="840" w:leftChars="400"/>
    </w:pPr>
  </w:style>
  <w:style w:type="paragraph" w:styleId="14">
    <w:name w:val="Plain Text"/>
    <w:basedOn w:val="1"/>
    <w:link w:val="50"/>
    <w:qFormat/>
    <w:uiPriority w:val="0"/>
    <w:pPr>
      <w:autoSpaceDE w:val="0"/>
      <w:autoSpaceDN w:val="0"/>
      <w:adjustRightInd w:val="0"/>
    </w:pPr>
    <w:rPr>
      <w:rFonts w:ascii="宋体" w:hAnsi="Tms Rmn"/>
      <w:kern w:val="0"/>
      <w:sz w:val="20"/>
      <w:szCs w:val="20"/>
    </w:rPr>
  </w:style>
  <w:style w:type="paragraph" w:styleId="15">
    <w:name w:val="toc 8"/>
    <w:basedOn w:val="1"/>
    <w:next w:val="1"/>
    <w:unhideWhenUsed/>
    <w:qFormat/>
    <w:uiPriority w:val="39"/>
    <w:pPr>
      <w:ind w:left="2940" w:leftChars="1400"/>
    </w:pPr>
    <w:rPr>
      <w:rFonts w:ascii="Calibri" w:hAnsi="Calibri"/>
      <w:szCs w:val="22"/>
    </w:rPr>
  </w:style>
  <w:style w:type="paragraph" w:styleId="16">
    <w:name w:val="Date"/>
    <w:basedOn w:val="1"/>
    <w:next w:val="1"/>
    <w:link w:val="51"/>
    <w:qFormat/>
    <w:uiPriority w:val="0"/>
    <w:pPr>
      <w:ind w:left="100" w:leftChars="2500"/>
    </w:pPr>
    <w:rPr>
      <w:kern w:val="0"/>
      <w:sz w:val="24"/>
    </w:rPr>
  </w:style>
  <w:style w:type="paragraph" w:styleId="17">
    <w:name w:val="Body Text Indent 2"/>
    <w:basedOn w:val="1"/>
    <w:link w:val="52"/>
    <w:qFormat/>
    <w:uiPriority w:val="0"/>
    <w:pPr>
      <w:spacing w:after="120" w:line="480" w:lineRule="auto"/>
      <w:ind w:left="420" w:leftChars="200"/>
    </w:pPr>
    <w:rPr>
      <w:kern w:val="0"/>
      <w:sz w:val="20"/>
    </w:rPr>
  </w:style>
  <w:style w:type="paragraph" w:styleId="18">
    <w:name w:val="Balloon Text"/>
    <w:basedOn w:val="1"/>
    <w:link w:val="53"/>
    <w:semiHidden/>
    <w:qFormat/>
    <w:uiPriority w:val="0"/>
    <w:rPr>
      <w:kern w:val="0"/>
      <w:sz w:val="18"/>
      <w:szCs w:val="18"/>
    </w:rPr>
  </w:style>
  <w:style w:type="paragraph" w:styleId="19">
    <w:name w:val="footer"/>
    <w:basedOn w:val="1"/>
    <w:link w:val="54"/>
    <w:qFormat/>
    <w:uiPriority w:val="99"/>
    <w:pPr>
      <w:tabs>
        <w:tab w:val="center" w:pos="4153"/>
        <w:tab w:val="right" w:pos="8306"/>
      </w:tabs>
      <w:snapToGrid w:val="0"/>
      <w:jc w:val="left"/>
    </w:pPr>
    <w:rPr>
      <w:kern w:val="0"/>
      <w:sz w:val="18"/>
      <w:szCs w:val="20"/>
    </w:rPr>
  </w:style>
  <w:style w:type="paragraph" w:styleId="20">
    <w:name w:val="header"/>
    <w:basedOn w:val="1"/>
    <w:link w:val="55"/>
    <w:qFormat/>
    <w:uiPriority w:val="99"/>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rPr>
      <w:rFonts w:ascii="Calibri" w:hAnsi="Calibri"/>
      <w:szCs w:val="22"/>
    </w:rPr>
  </w:style>
  <w:style w:type="paragraph" w:styleId="23">
    <w:name w:val="toc 6"/>
    <w:basedOn w:val="1"/>
    <w:next w:val="1"/>
    <w:unhideWhenUsed/>
    <w:qFormat/>
    <w:uiPriority w:val="39"/>
    <w:pPr>
      <w:ind w:left="2100" w:leftChars="1000"/>
    </w:pPr>
    <w:rPr>
      <w:rFonts w:ascii="Calibri" w:hAnsi="Calibri"/>
      <w:szCs w:val="22"/>
    </w:rPr>
  </w:style>
  <w:style w:type="paragraph" w:styleId="24">
    <w:name w:val="Body Text Indent 3"/>
    <w:basedOn w:val="1"/>
    <w:link w:val="56"/>
    <w:qFormat/>
    <w:uiPriority w:val="0"/>
    <w:pPr>
      <w:spacing w:after="120"/>
      <w:ind w:left="420" w:leftChars="200"/>
    </w:pPr>
    <w:rPr>
      <w:kern w:val="0"/>
      <w:sz w:val="16"/>
      <w:szCs w:val="16"/>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ind w:left="3360" w:leftChars="1600"/>
    </w:pPr>
    <w:rPr>
      <w:rFonts w:ascii="Calibri" w:hAnsi="Calibri"/>
      <w:szCs w:val="22"/>
    </w:rPr>
  </w:style>
  <w:style w:type="paragraph" w:styleId="2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8">
    <w:name w:val="annotation subject"/>
    <w:basedOn w:val="10"/>
    <w:next w:val="10"/>
    <w:link w:val="57"/>
    <w:qFormat/>
    <w:uiPriority w:val="0"/>
    <w:rPr>
      <w:b/>
      <w:bCs/>
      <w:sz w:val="20"/>
      <w:szCs w:val="24"/>
    </w:rPr>
  </w:style>
  <w:style w:type="paragraph" w:styleId="29">
    <w:name w:val="Body Text First Indent"/>
    <w:basedOn w:val="2"/>
    <w:qFormat/>
    <w:uiPriority w:val="0"/>
    <w:pPr>
      <w:ind w:firstLine="420" w:firstLineChars="100"/>
    </w:pPr>
    <w:rPr>
      <w:rFonts w:cs="Calibri"/>
      <w:color w:val="000000"/>
      <w:kern w:val="1"/>
      <w:szCs w:val="22"/>
    </w:rPr>
  </w:style>
  <w:style w:type="character" w:styleId="32">
    <w:name w:val="Strong"/>
    <w:qFormat/>
    <w:uiPriority w:val="0"/>
    <w:rPr>
      <w:b/>
    </w:rPr>
  </w:style>
  <w:style w:type="character" w:styleId="33">
    <w:name w:val="page number"/>
    <w:qFormat/>
    <w:uiPriority w:val="0"/>
  </w:style>
  <w:style w:type="character" w:styleId="34">
    <w:name w:val="FollowedHyperlink"/>
    <w:qFormat/>
    <w:uiPriority w:val="0"/>
    <w:rPr>
      <w:color w:val="333333"/>
      <w:u w:val="none"/>
    </w:rPr>
  </w:style>
  <w:style w:type="character" w:styleId="35">
    <w:name w:val="Emphasis"/>
    <w:qFormat/>
    <w:uiPriority w:val="0"/>
  </w:style>
  <w:style w:type="character" w:styleId="36">
    <w:name w:val="HTML Definition"/>
    <w:qFormat/>
    <w:uiPriority w:val="0"/>
  </w:style>
  <w:style w:type="character" w:styleId="37">
    <w:name w:val="HTML Variable"/>
    <w:qFormat/>
    <w:uiPriority w:val="0"/>
  </w:style>
  <w:style w:type="character" w:styleId="38">
    <w:name w:val="Hyperlink"/>
    <w:qFormat/>
    <w:uiPriority w:val="99"/>
    <w:rPr>
      <w:color w:val="333333"/>
      <w:u w:val="none"/>
    </w:rPr>
  </w:style>
  <w:style w:type="character" w:styleId="39">
    <w:name w:val="HTML Code"/>
    <w:qFormat/>
    <w:uiPriority w:val="0"/>
    <w:rPr>
      <w:rFonts w:ascii="Courier New" w:hAnsi="Courier New"/>
      <w:sz w:val="20"/>
    </w:rPr>
  </w:style>
  <w:style w:type="character" w:styleId="40">
    <w:name w:val="annotation reference"/>
    <w:qFormat/>
    <w:uiPriority w:val="0"/>
    <w:rPr>
      <w:sz w:val="21"/>
      <w:szCs w:val="21"/>
    </w:rPr>
  </w:style>
  <w:style w:type="character" w:styleId="41">
    <w:name w:val="HTML Cite"/>
    <w:qFormat/>
    <w:uiPriority w:val="0"/>
  </w:style>
  <w:style w:type="character" w:customStyle="1" w:styleId="42">
    <w:name w:val="正文文本 字符"/>
    <w:link w:val="2"/>
    <w:qFormat/>
    <w:uiPriority w:val="0"/>
  </w:style>
  <w:style w:type="character" w:customStyle="1" w:styleId="43">
    <w:name w:val="标题 1 字符"/>
    <w:link w:val="3"/>
    <w:qFormat/>
    <w:uiPriority w:val="0"/>
    <w:rPr>
      <w:b/>
      <w:bCs/>
      <w:kern w:val="44"/>
      <w:sz w:val="36"/>
      <w:szCs w:val="44"/>
    </w:rPr>
  </w:style>
  <w:style w:type="character" w:customStyle="1" w:styleId="44">
    <w:name w:val="标题 2 字符"/>
    <w:link w:val="4"/>
    <w:qFormat/>
    <w:uiPriority w:val="0"/>
    <w:rPr>
      <w:rFonts w:ascii="Arial" w:hAnsi="Arial" w:eastAsia="黑体" w:cs="Times New Roman"/>
      <w:b/>
      <w:bCs/>
      <w:sz w:val="32"/>
      <w:szCs w:val="32"/>
    </w:rPr>
  </w:style>
  <w:style w:type="character" w:customStyle="1" w:styleId="45">
    <w:name w:val="标题 3 字符"/>
    <w:link w:val="5"/>
    <w:qFormat/>
    <w:uiPriority w:val="0"/>
    <w:rPr>
      <w:rFonts w:ascii="Times New Roman" w:hAnsi="Times New Roman" w:eastAsia="宋体" w:cs="Times New Roman"/>
      <w:b/>
      <w:bCs/>
      <w:sz w:val="32"/>
      <w:szCs w:val="32"/>
    </w:rPr>
  </w:style>
  <w:style w:type="character" w:customStyle="1" w:styleId="46">
    <w:name w:val="正文缩进 字符"/>
    <w:link w:val="8"/>
    <w:qFormat/>
    <w:uiPriority w:val="0"/>
    <w:rPr>
      <w:rFonts w:eastAsia="宋体"/>
      <w:szCs w:val="24"/>
    </w:rPr>
  </w:style>
  <w:style w:type="character" w:customStyle="1" w:styleId="47">
    <w:name w:val="文档结构图 字符"/>
    <w:link w:val="9"/>
    <w:qFormat/>
    <w:uiPriority w:val="0"/>
    <w:rPr>
      <w:rFonts w:ascii="宋体"/>
      <w:sz w:val="18"/>
      <w:szCs w:val="18"/>
    </w:rPr>
  </w:style>
  <w:style w:type="character" w:customStyle="1" w:styleId="48">
    <w:name w:val="批注文字 字符"/>
    <w:link w:val="10"/>
    <w:qFormat/>
    <w:uiPriority w:val="0"/>
    <w:rPr>
      <w:sz w:val="18"/>
    </w:rPr>
  </w:style>
  <w:style w:type="character" w:customStyle="1" w:styleId="49">
    <w:name w:val="正文文本缩进 字符"/>
    <w:link w:val="11"/>
    <w:qFormat/>
    <w:uiPriority w:val="0"/>
    <w:rPr>
      <w:rFonts w:eastAsia="宋体"/>
      <w:sz w:val="32"/>
    </w:rPr>
  </w:style>
  <w:style w:type="character" w:customStyle="1" w:styleId="50">
    <w:name w:val="纯文本 字符"/>
    <w:link w:val="14"/>
    <w:unhideWhenUsed/>
    <w:qFormat/>
    <w:uiPriority w:val="0"/>
    <w:rPr>
      <w:rFonts w:ascii="宋体" w:hAnsi="Tms Rmn" w:eastAsia="宋体"/>
    </w:rPr>
  </w:style>
  <w:style w:type="character" w:customStyle="1" w:styleId="51">
    <w:name w:val="日期 字符"/>
    <w:link w:val="16"/>
    <w:qFormat/>
    <w:uiPriority w:val="0"/>
    <w:rPr>
      <w:rFonts w:ascii="Times New Roman" w:hAnsi="Times New Roman" w:eastAsia="宋体" w:cs="Times New Roman"/>
      <w:sz w:val="24"/>
      <w:szCs w:val="24"/>
    </w:rPr>
  </w:style>
  <w:style w:type="character" w:customStyle="1" w:styleId="52">
    <w:name w:val="正文文本缩进 2 字符"/>
    <w:link w:val="17"/>
    <w:qFormat/>
    <w:uiPriority w:val="0"/>
    <w:rPr>
      <w:rFonts w:ascii="Times New Roman" w:hAnsi="Times New Roman" w:eastAsia="宋体" w:cs="Times New Roman"/>
      <w:szCs w:val="24"/>
    </w:rPr>
  </w:style>
  <w:style w:type="character" w:customStyle="1" w:styleId="53">
    <w:name w:val="批注框文本 字符"/>
    <w:link w:val="18"/>
    <w:semiHidden/>
    <w:qFormat/>
    <w:uiPriority w:val="0"/>
    <w:rPr>
      <w:rFonts w:ascii="Times New Roman" w:hAnsi="Times New Roman" w:eastAsia="宋体" w:cs="Times New Roman"/>
      <w:sz w:val="18"/>
      <w:szCs w:val="18"/>
    </w:rPr>
  </w:style>
  <w:style w:type="character" w:customStyle="1" w:styleId="54">
    <w:name w:val="页脚 字符"/>
    <w:link w:val="19"/>
    <w:qFormat/>
    <w:uiPriority w:val="99"/>
    <w:rPr>
      <w:rFonts w:eastAsia="宋体"/>
      <w:sz w:val="18"/>
    </w:rPr>
  </w:style>
  <w:style w:type="character" w:customStyle="1" w:styleId="55">
    <w:name w:val="页眉 字符"/>
    <w:link w:val="20"/>
    <w:qFormat/>
    <w:uiPriority w:val="99"/>
    <w:rPr>
      <w:rFonts w:eastAsia="宋体"/>
      <w:sz w:val="18"/>
    </w:rPr>
  </w:style>
  <w:style w:type="character" w:customStyle="1" w:styleId="56">
    <w:name w:val="正文文本缩进 3 字符"/>
    <w:link w:val="24"/>
    <w:qFormat/>
    <w:uiPriority w:val="0"/>
    <w:rPr>
      <w:sz w:val="16"/>
      <w:szCs w:val="16"/>
    </w:rPr>
  </w:style>
  <w:style w:type="character" w:customStyle="1" w:styleId="57">
    <w:name w:val="批注主题 字符"/>
    <w:link w:val="28"/>
    <w:qFormat/>
    <w:uiPriority w:val="0"/>
    <w:rPr>
      <w:b/>
      <w:bCs/>
      <w:szCs w:val="24"/>
    </w:rPr>
  </w:style>
  <w:style w:type="character" w:customStyle="1" w:styleId="58">
    <w:name w:val="文档结构图 Char1"/>
    <w:semiHidden/>
    <w:qFormat/>
    <w:uiPriority w:val="99"/>
    <w:rPr>
      <w:rFonts w:ascii="宋体" w:hAnsi="Times New Roman" w:eastAsia="宋体" w:cs="Times New Roman"/>
      <w:sz w:val="18"/>
      <w:szCs w:val="18"/>
    </w:rPr>
  </w:style>
  <w:style w:type="character" w:customStyle="1" w:styleId="59">
    <w:name w:val="label"/>
    <w:qFormat/>
    <w:uiPriority w:val="0"/>
    <w:rPr>
      <w:color w:val="555555"/>
    </w:rPr>
  </w:style>
  <w:style w:type="character" w:customStyle="1" w:styleId="60">
    <w:name w:val="纯文本 Char1"/>
    <w:semiHidden/>
    <w:qFormat/>
    <w:uiPriority w:val="99"/>
    <w:rPr>
      <w:rFonts w:ascii="宋体" w:hAnsi="Courier New" w:eastAsia="宋体" w:cs="Courier New"/>
      <w:szCs w:val="21"/>
    </w:rPr>
  </w:style>
  <w:style w:type="character" w:customStyle="1" w:styleId="61">
    <w:name w:val="列表段落 字符"/>
    <w:link w:val="62"/>
    <w:qFormat/>
    <w:uiPriority w:val="0"/>
    <w:rPr>
      <w:rFonts w:eastAsia="宋体"/>
      <w:szCs w:val="24"/>
    </w:rPr>
  </w:style>
  <w:style w:type="paragraph" w:styleId="62">
    <w:name w:val="List Paragraph"/>
    <w:basedOn w:val="1"/>
    <w:link w:val="61"/>
    <w:qFormat/>
    <w:uiPriority w:val="0"/>
    <w:pPr>
      <w:ind w:firstLine="420" w:firstLineChars="200"/>
    </w:pPr>
    <w:rPr>
      <w:kern w:val="0"/>
      <w:sz w:val="20"/>
    </w:rPr>
  </w:style>
  <w:style w:type="character" w:customStyle="1" w:styleId="63">
    <w:name w:val="正文首行缩进两字符 Char"/>
    <w:link w:val="64"/>
    <w:qFormat/>
    <w:uiPriority w:val="0"/>
    <w:rPr>
      <w:rFonts w:ascii="Times New Roman" w:hAnsi="Times New Roman" w:eastAsia="宋体" w:cs="Times New Roman"/>
      <w:szCs w:val="24"/>
    </w:rPr>
  </w:style>
  <w:style w:type="paragraph" w:customStyle="1" w:styleId="64">
    <w:name w:val="正文首行缩进两字符"/>
    <w:basedOn w:val="1"/>
    <w:link w:val="63"/>
    <w:qFormat/>
    <w:uiPriority w:val="0"/>
    <w:pPr>
      <w:spacing w:line="360" w:lineRule="auto"/>
      <w:ind w:firstLine="200" w:firstLineChars="200"/>
    </w:pPr>
    <w:rPr>
      <w:kern w:val="0"/>
      <w:sz w:val="20"/>
    </w:rPr>
  </w:style>
  <w:style w:type="character" w:customStyle="1" w:styleId="65">
    <w:name w:val="GW-正文 Char"/>
    <w:link w:val="66"/>
    <w:qFormat/>
    <w:uiPriority w:val="0"/>
    <w:rPr>
      <w:rFonts w:eastAsia="仿宋_GB2312"/>
      <w:sz w:val="24"/>
      <w:szCs w:val="24"/>
    </w:rPr>
  </w:style>
  <w:style w:type="paragraph" w:customStyle="1" w:styleId="66">
    <w:name w:val="GW-正文"/>
    <w:basedOn w:val="1"/>
    <w:link w:val="65"/>
    <w:qFormat/>
    <w:uiPriority w:val="0"/>
    <w:pPr>
      <w:spacing w:line="360" w:lineRule="auto"/>
      <w:ind w:firstLine="200" w:firstLineChars="200"/>
    </w:pPr>
    <w:rPr>
      <w:rFonts w:eastAsia="仿宋_GB2312"/>
      <w:kern w:val="0"/>
      <w:sz w:val="24"/>
    </w:rPr>
  </w:style>
  <w:style w:type="character" w:customStyle="1" w:styleId="67">
    <w:name w:val="modifier"/>
    <w:qFormat/>
    <w:uiPriority w:val="0"/>
    <w:rPr>
      <w:color w:val="FF0000"/>
    </w:rPr>
  </w:style>
  <w:style w:type="character" w:customStyle="1" w:styleId="68">
    <w:name w:val="正文文本缩进 Char1"/>
    <w:semiHidden/>
    <w:qFormat/>
    <w:uiPriority w:val="99"/>
    <w:rPr>
      <w:rFonts w:ascii="Times New Roman" w:hAnsi="Times New Roman" w:eastAsia="宋体" w:cs="Times New Roman"/>
      <w:szCs w:val="24"/>
    </w:rPr>
  </w:style>
  <w:style w:type="character" w:customStyle="1" w:styleId="69">
    <w:name w:val="页脚 Char1"/>
    <w:semiHidden/>
    <w:qFormat/>
    <w:uiPriority w:val="99"/>
    <w:rPr>
      <w:rFonts w:ascii="Times New Roman" w:hAnsi="Times New Roman" w:eastAsia="宋体" w:cs="Times New Roman"/>
      <w:sz w:val="18"/>
      <w:szCs w:val="18"/>
    </w:rPr>
  </w:style>
  <w:style w:type="character" w:customStyle="1" w:styleId="70">
    <w:name w:val=" Char Char9"/>
    <w:qFormat/>
    <w:uiPriority w:val="0"/>
    <w:rPr>
      <w:kern w:val="2"/>
      <w:sz w:val="21"/>
    </w:rPr>
  </w:style>
  <w:style w:type="character" w:customStyle="1" w:styleId="71">
    <w:name w:val="正文文本缩进 3 Char1"/>
    <w:semiHidden/>
    <w:qFormat/>
    <w:uiPriority w:val="99"/>
    <w:rPr>
      <w:rFonts w:ascii="Times New Roman" w:hAnsi="Times New Roman" w:eastAsia="宋体" w:cs="Times New Roman"/>
      <w:sz w:val="16"/>
      <w:szCs w:val="16"/>
    </w:rPr>
  </w:style>
  <w:style w:type="character" w:customStyle="1" w:styleId="72">
    <w:name w:val="批注主题 Char1"/>
    <w:semiHidden/>
    <w:qFormat/>
    <w:uiPriority w:val="99"/>
    <w:rPr>
      <w:rFonts w:ascii="Times New Roman" w:hAnsi="Times New Roman" w:eastAsia="宋体" w:cs="Times New Roman"/>
      <w:b/>
      <w:bCs/>
      <w:szCs w:val="24"/>
    </w:rPr>
  </w:style>
  <w:style w:type="character" w:customStyle="1" w:styleId="73">
    <w:name w:val="（符号）邀请函中一、"/>
    <w:qFormat/>
    <w:uiPriority w:val="0"/>
    <w:rPr>
      <w:rFonts w:ascii="黑体" w:hAnsi="黑体" w:eastAsia="黑体"/>
      <w:b/>
      <w:bCs/>
      <w:sz w:val="24"/>
    </w:rPr>
  </w:style>
  <w:style w:type="character" w:customStyle="1" w:styleId="74">
    <w:name w:val="批注文字 Char1"/>
    <w:qFormat/>
    <w:uiPriority w:val="0"/>
    <w:rPr>
      <w:kern w:val="2"/>
      <w:sz w:val="18"/>
      <w:lang w:bidi="ar-SA"/>
    </w:rPr>
  </w:style>
  <w:style w:type="character" w:customStyle="1" w:styleId="75">
    <w:name w:val="页眉 Char1"/>
    <w:semiHidden/>
    <w:qFormat/>
    <w:uiPriority w:val="99"/>
    <w:rPr>
      <w:rFonts w:ascii="Times New Roman" w:hAnsi="Times New Roman" w:eastAsia="宋体" w:cs="Times New Roman"/>
      <w:sz w:val="18"/>
      <w:szCs w:val="18"/>
    </w:rPr>
  </w:style>
  <w:style w:type="character" w:customStyle="1" w:styleId="76">
    <w:name w:val="批注文字 Char2"/>
    <w:semiHidden/>
    <w:qFormat/>
    <w:uiPriority w:val="99"/>
    <w:rPr>
      <w:rFonts w:ascii="Times New Roman" w:hAnsi="Times New Roman" w:eastAsia="宋体" w:cs="Times New Roman"/>
      <w:szCs w:val="24"/>
    </w:rPr>
  </w:style>
  <w:style w:type="character" w:customStyle="1" w:styleId="77">
    <w:name w:val="正文文本 Char1"/>
    <w:semiHidden/>
    <w:qFormat/>
    <w:uiPriority w:val="99"/>
    <w:rPr>
      <w:rFonts w:ascii="Times New Roman" w:hAnsi="Times New Roman" w:eastAsia="宋体" w:cs="Times New Roman"/>
      <w:szCs w:val="24"/>
    </w:rPr>
  </w:style>
  <w:style w:type="paragraph" w:customStyle="1" w:styleId="78">
    <w:name w:val="Table Paragraph"/>
    <w:basedOn w:val="1"/>
    <w:qFormat/>
    <w:uiPriority w:val="99"/>
    <w:pPr>
      <w:autoSpaceDE w:val="0"/>
      <w:autoSpaceDN w:val="0"/>
      <w:adjustRightInd w:val="0"/>
      <w:jc w:val="left"/>
    </w:pPr>
    <w:rPr>
      <w:kern w:val="0"/>
      <w:sz w:val="24"/>
      <w:u w:val="none" w:color="000000"/>
    </w:rPr>
  </w:style>
  <w:style w:type="paragraph" w:customStyle="1" w:styleId="79">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CD正文"/>
    <w:basedOn w:val="1"/>
    <w:qFormat/>
    <w:uiPriority w:val="99"/>
    <w:pPr>
      <w:spacing w:line="360" w:lineRule="auto"/>
      <w:ind w:firstLine="493"/>
    </w:pPr>
    <w:rPr>
      <w:sz w:val="30"/>
      <w:szCs w:val="30"/>
    </w:rPr>
  </w:style>
  <w:style w:type="paragraph" w:customStyle="1" w:styleId="8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3">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Calibri"/>
      <w:color w:val="000000"/>
      <w:kern w:val="2"/>
      <w:sz w:val="21"/>
      <w:szCs w:val="21"/>
      <w:u w:val="none" w:color="000000"/>
      <w:lang w:val="en-US" w:eastAsia="zh-CN" w:bidi="ar-SA"/>
    </w:rPr>
  </w:style>
  <w:style w:type="paragraph" w:customStyle="1" w:styleId="84">
    <w:name w:val="表格"/>
    <w:basedOn w:val="1"/>
    <w:qFormat/>
    <w:uiPriority w:val="0"/>
    <w:pPr>
      <w:spacing w:line="400" w:lineRule="exact"/>
    </w:pPr>
    <w:rPr>
      <w:sz w:val="24"/>
    </w:rPr>
  </w:style>
  <w:style w:type="paragraph" w:customStyle="1" w:styleId="85">
    <w:name w:val="_Style 84"/>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样式 首行缩进:  2 字符"/>
    <w:basedOn w:val="1"/>
    <w:qFormat/>
    <w:uiPriority w:val="0"/>
    <w:pPr>
      <w:spacing w:line="400" w:lineRule="exact"/>
      <w:ind w:firstLine="200" w:firstLineChars="200"/>
    </w:pPr>
    <w:rPr>
      <w:rFonts w:cs="宋体"/>
      <w:sz w:val="24"/>
    </w:rPr>
  </w:style>
  <w:style w:type="paragraph" w:customStyle="1" w:styleId="8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8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9">
    <w:name w:val="Char Char Char Char Char Char Char Char Char Char Char Char Char Char1 Char Char Char Char"/>
    <w:basedOn w:val="1"/>
    <w:qFormat/>
    <w:uiPriority w:val="0"/>
    <w:rPr>
      <w:szCs w:val="21"/>
    </w:rPr>
  </w:style>
  <w:style w:type="paragraph" w:customStyle="1" w:styleId="90">
    <w:name w:val="纯文本1"/>
    <w:basedOn w:val="1"/>
    <w:qFormat/>
    <w:uiPriority w:val="0"/>
    <w:rPr>
      <w:rFonts w:hAnsi="Courier New"/>
    </w:rPr>
  </w:style>
  <w:style w:type="character" w:customStyle="1" w:styleId="91">
    <w:name w:val="font31"/>
    <w:basedOn w:val="31"/>
    <w:qFormat/>
    <w:uiPriority w:val="0"/>
    <w:rPr>
      <w:rFonts w:hint="eastAsia" w:ascii="宋体" w:hAnsi="宋体" w:eastAsia="宋体" w:cs="宋体"/>
      <w:color w:val="000000"/>
      <w:sz w:val="22"/>
      <w:szCs w:val="22"/>
      <w:u w:val="none"/>
    </w:rPr>
  </w:style>
  <w:style w:type="paragraph" w:customStyle="1" w:styleId="92">
    <w:name w:val="02、首行缩进2字符正文"/>
    <w:basedOn w:val="1"/>
    <w:qFormat/>
    <w:uiPriority w:val="0"/>
    <w:pPr>
      <w:tabs>
        <w:tab w:val="left" w:pos="0"/>
      </w:tabs>
      <w:wordWrap w:val="0"/>
      <w:topLinePunct/>
      <w:ind w:firstLine="480" w:firstLineChars="200"/>
    </w:pPr>
  </w:style>
  <w:style w:type="character" w:customStyle="1" w:styleId="93">
    <w:name w:val="font11"/>
    <w:basedOn w:val="31"/>
    <w:qFormat/>
    <w:uiPriority w:val="0"/>
    <w:rPr>
      <w:rFonts w:hint="eastAsia" w:ascii="黑体" w:hAnsi="宋体" w:eastAsia="黑体" w:cs="黑体"/>
      <w:color w:val="000000"/>
      <w:sz w:val="22"/>
      <w:szCs w:val="22"/>
      <w:u w:val="none"/>
    </w:rPr>
  </w:style>
  <w:style w:type="character" w:customStyle="1" w:styleId="94">
    <w:name w:val="font21"/>
    <w:basedOn w:val="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398;&#26657;&#21381;&#39302;&#35805;&#31570;&#35774;&#22791;&#65288;&#26080;&#32447;&#32819;&#40614;&#65289;&#21450;&#23545;&#35762;&#26426;&#34917;&#20805;&#36141;&#32622;&#35810;&#20215;&#25991;&#20214;&#65288;&#31532;&#20108;&#27425;&#65289;\&#23398;&#26657;&#21381;&#39302;&#35805;&#31570;&#35774;&#22791;&#65288;&#26080;&#32447;&#32819;&#40614;&#65289;&#21450;&#23545;&#35762;&#26426;&#34917;&#20805;&#36141;&#32622;&#35810;&#20215;&#25991;&#20214;&#31532;&#20108;&#274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学校厅馆话筒设备（无线耳麦）及对讲机补充购置询价文件第二次.dotx</Template>
  <Pages>27</Pages>
  <Words>11842</Words>
  <Characters>12918</Characters>
  <Lines>63</Lines>
  <Paragraphs>17</Paragraphs>
  <TotalTime>35</TotalTime>
  <ScaleCrop>false</ScaleCrop>
  <LinksUpToDate>false</LinksUpToDate>
  <CharactersWithSpaces>14110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2023-10-31T09:13:00Z</dcterms:created>
  <dc:creator>Administrator</dc:creator>
  <cp:lastModifiedBy>华</cp:lastModifiedBy>
  <dcterms:modified xsi:type="dcterms:W3CDTF">2023-10-31T09:27:15Z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029B816757094E84A826EA5362003671_11</vt:lpwstr>
  </property>
</Properties>
</file>