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9"/>
        <w:rPr>
          <w:rFonts w:hint="default" w:ascii="方正公文黑体" w:hAnsi="方正公文黑体" w:eastAsia="方正公文黑体" w:cs="方正公文黑体"/>
          <w:b/>
          <w:color w:val="000000"/>
          <w:sz w:val="36"/>
          <w:szCs w:val="36"/>
          <w:lang w:val="en-US"/>
        </w:rPr>
      </w:pPr>
      <w:r>
        <w:rPr>
          <w:rFonts w:hint="eastAsia" w:ascii="方正公文黑体" w:hAnsi="方正公文黑体" w:eastAsia="方正公文黑体" w:cs="方正公文黑体"/>
          <w:b/>
          <w:color w:val="000000"/>
          <w:sz w:val="36"/>
          <w:szCs w:val="36"/>
          <w:lang w:val="en-US" w:eastAsia="zh-CN"/>
        </w:rPr>
        <w:t>西昌民族幼专艺术教育系2022版</w:t>
      </w:r>
      <w:bookmarkStart w:id="39" w:name="_GoBack"/>
      <w:bookmarkEnd w:id="39"/>
    </w:p>
    <w:p>
      <w:pPr>
        <w:spacing w:line="360" w:lineRule="auto"/>
        <w:jc w:val="center"/>
        <w:outlineLvl w:val="9"/>
        <w:rPr>
          <w:rFonts w:hint="eastAsia" w:ascii="方正公文黑体" w:hAnsi="方正公文黑体" w:eastAsia="方正公文黑体" w:cs="方正公文黑体"/>
          <w:color w:val="000000"/>
          <w:sz w:val="36"/>
          <w:szCs w:val="36"/>
        </w:rPr>
      </w:pPr>
      <w:r>
        <w:rPr>
          <w:rFonts w:hint="eastAsia" w:ascii="方正公文黑体" w:hAnsi="方正公文黑体" w:eastAsia="方正公文黑体" w:cs="方正公文黑体"/>
          <w:color w:val="000000"/>
          <w:sz w:val="36"/>
          <w:szCs w:val="36"/>
          <w:lang w:val="en-US" w:eastAsia="zh-CN"/>
        </w:rPr>
        <w:t>美术教育</w:t>
      </w:r>
      <w:r>
        <w:rPr>
          <w:rFonts w:hint="eastAsia" w:ascii="方正公文黑体" w:hAnsi="方正公文黑体" w:eastAsia="方正公文黑体" w:cs="方正公文黑体"/>
          <w:color w:val="000000"/>
          <w:sz w:val="36"/>
          <w:szCs w:val="36"/>
        </w:rPr>
        <w:t>专业人才培养方案</w:t>
      </w:r>
    </w:p>
    <w:p>
      <w:pPr>
        <w:spacing w:line="360" w:lineRule="auto"/>
        <w:jc w:val="both"/>
        <w:rPr>
          <w:rFonts w:hint="eastAsia" w:eastAsia="黑体"/>
          <w:b/>
          <w:color w:val="000000"/>
          <w:sz w:val="36"/>
          <w:szCs w:val="36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 w:ascii="方正公文黑体" w:hAnsi="方正公文黑体" w:eastAsia="方正公文黑体" w:cs="方正公文黑体"/>
        </w:rPr>
      </w:pPr>
      <w:r>
        <w:rPr>
          <w:rFonts w:hint="eastAsia" w:ascii="方正公文黑体" w:hAnsi="方正公文黑体" w:eastAsia="方正公文黑体" w:cs="方正公文黑体"/>
        </w:rPr>
        <w:t>一、基本信息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</w:rPr>
        <w:t>（一）专业名称及代码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专业名称：美术教育专业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专业代码：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570109K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/>
        </w:rPr>
      </w:pPr>
      <w:r>
        <w:rPr>
          <w:rFonts w:hint="eastAsia"/>
        </w:rPr>
        <w:t>（二）入学要求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普通高级中学毕业、中等职业学校毕业或具备同等学历。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/>
        </w:rPr>
      </w:pPr>
      <w:r>
        <w:rPr>
          <w:rFonts w:hint="eastAsia"/>
        </w:rPr>
        <w:t>（三）修业年限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基本学制3年（全日制），在校学习时间为2～5年，全日制专科学历。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 w:ascii="方正公文黑体" w:hAnsi="方正公文黑体" w:eastAsia="方正公文黑体" w:cs="方正公文黑体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lang w:val="en-US" w:eastAsia="zh-CN"/>
        </w:rPr>
        <w:t>二、职业面向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/>
        </w:rPr>
      </w:pPr>
      <w:r>
        <w:rPr>
          <w:rFonts w:hint="eastAsia"/>
        </w:rPr>
        <w:t>（一）职业岗位群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美术教育专业人才培养目标定位：小学美术教师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具体就业岗位有：小学美术教师、艺术学校美术教师、美术培训机构等单位的美术教师和相关工作人员。</w:t>
      </w:r>
    </w:p>
    <w:tbl>
      <w:tblPr>
        <w:tblStyle w:val="18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299"/>
        <w:gridCol w:w="1187"/>
        <w:gridCol w:w="1483"/>
        <w:gridCol w:w="1638"/>
        <w:gridCol w:w="25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所属专业大类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（代码）</w:t>
            </w:r>
          </w:p>
        </w:tc>
        <w:tc>
          <w:tcPr>
            <w:tcW w:w="1299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所属专业类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（代码）</w:t>
            </w:r>
          </w:p>
        </w:tc>
        <w:tc>
          <w:tcPr>
            <w:tcW w:w="118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对应行业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（代码）</w:t>
            </w:r>
          </w:p>
        </w:tc>
        <w:tc>
          <w:tcPr>
            <w:tcW w:w="1483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主要职业类别（代码）</w:t>
            </w:r>
          </w:p>
        </w:tc>
        <w:tc>
          <w:tcPr>
            <w:tcW w:w="1638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主要岗位类别（或技术领域）</w:t>
            </w:r>
          </w:p>
        </w:tc>
        <w:tc>
          <w:tcPr>
            <w:tcW w:w="2588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职业资格证书或技能等级证书举例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1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教育与体育大类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zh-CN" w:eastAsia="zh-CN"/>
              </w:rPr>
              <w:t>(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57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zh-CN" w:eastAsia="zh-CN"/>
              </w:rPr>
              <w:t>)</w:t>
            </w:r>
          </w:p>
        </w:tc>
        <w:tc>
          <w:tcPr>
            <w:tcW w:w="1299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教育类(5701)</w:t>
            </w:r>
          </w:p>
        </w:tc>
        <w:tc>
          <w:tcPr>
            <w:tcW w:w="1187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教育（初等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育）(13890)</w:t>
            </w:r>
          </w:p>
        </w:tc>
        <w:tc>
          <w:tcPr>
            <w:tcW w:w="1483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小学美术教师（A050409）</w:t>
            </w:r>
          </w:p>
        </w:tc>
        <w:tc>
          <w:tcPr>
            <w:tcW w:w="1638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小学美术教师、美术教育培训机构美术教师</w:t>
            </w:r>
          </w:p>
        </w:tc>
        <w:tc>
          <w:tcPr>
            <w:tcW w:w="2588" w:type="dxa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1：毕业证</w:t>
            </w:r>
          </w:p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X：小学美术教师资格证、大学生公共英语等级证、计算机等级证、普通话等级证等。</w:t>
            </w:r>
          </w:p>
        </w:tc>
      </w:tr>
    </w:tbl>
    <w:p>
      <w:pPr>
        <w:pStyle w:val="17"/>
        <w:rPr>
          <w:rFonts w:hint="eastAsia"/>
          <w:lang w:val="en-US" w:eastAsia="zh-CN"/>
        </w:rPr>
        <w:sectPr>
          <w:footerReference r:id="rId3" w:type="default"/>
          <w:pgSz w:w="11906" w:h="16838"/>
          <w:pgMar w:top="1440" w:right="1440" w:bottom="144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/>
        </w:rPr>
      </w:pPr>
      <w:bookmarkStart w:id="0" w:name="_Toc6589"/>
      <w:r>
        <w:rPr>
          <w:rFonts w:hint="eastAsia"/>
        </w:rPr>
        <w:t>（二）主要工作岗位、具备的职业能力与专业课程设置</w:t>
      </w:r>
      <w:bookmarkEnd w:id="0"/>
    </w:p>
    <w:tbl>
      <w:tblPr>
        <w:tblStyle w:val="18"/>
        <w:tblW w:w="92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8"/>
        <w:gridCol w:w="1236"/>
        <w:gridCol w:w="2832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工作岗位</w:t>
            </w: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工作任务</w:t>
            </w:r>
          </w:p>
        </w:tc>
        <w:tc>
          <w:tcPr>
            <w:tcW w:w="2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应具备的职业能力</w:t>
            </w:r>
          </w:p>
        </w:tc>
        <w:tc>
          <w:tcPr>
            <w:tcW w:w="33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对应主要专业课程设置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1.小学美术教师；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2.艺术学校美术老师；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3.美术教育培训机构美术教师</w:t>
            </w: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小学美术教育教学工作</w:t>
            </w:r>
          </w:p>
        </w:tc>
        <w:tc>
          <w:tcPr>
            <w:tcW w:w="2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具有艺术鉴赏能力；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具备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小学美术教育能力；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具有开展小学美术教学研究能力。</w:t>
            </w:r>
          </w:p>
        </w:tc>
        <w:tc>
          <w:tcPr>
            <w:tcW w:w="33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教育学、教育心理学、小学美术课程与教学、儿童美术、素描、色彩、国画、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中国画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水彩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民族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美术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电脑美术、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彝族图形应用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与美术教育相关的工作</w:t>
            </w:r>
          </w:p>
        </w:tc>
        <w:tc>
          <w:tcPr>
            <w:tcW w:w="2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具备美术基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本绘画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能力；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地方民族特色文化；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具有简单电脑美术设计能力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CN" w:eastAsia="zh-CN"/>
              </w:rPr>
              <w:t>。</w:t>
            </w:r>
          </w:p>
        </w:tc>
        <w:tc>
          <w:tcPr>
            <w:tcW w:w="33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电脑美术、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彝族古文字图形创作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版画、油画、彝族图形应用、民族美术、素描、色彩等。</w:t>
            </w:r>
          </w:p>
        </w:tc>
      </w:tr>
    </w:tbl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/>
          <w:lang w:val="en-US" w:eastAsia="zh-CN"/>
        </w:rPr>
      </w:pPr>
      <w:bookmarkStart w:id="1" w:name="_Toc9164"/>
      <w:r>
        <w:rPr>
          <w:rFonts w:hint="eastAsia" w:ascii="方正公文黑体" w:hAnsi="方正公文黑体" w:eastAsia="方正公文黑体" w:cs="方正公文黑体"/>
          <w:lang w:val="en-US" w:eastAsia="zh-CN"/>
        </w:rPr>
        <w:t>三、培养目标与毕业要求</w:t>
      </w:r>
      <w:bookmarkEnd w:id="1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/>
        </w:rPr>
      </w:pPr>
      <w:bookmarkStart w:id="2" w:name="_Toc24712"/>
      <w:r>
        <w:rPr>
          <w:rFonts w:hint="eastAsia"/>
        </w:rPr>
        <w:t>（一）培养目标</w:t>
      </w:r>
      <w:bookmarkEnd w:id="2"/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本专业立足凉山，面向全省，辐射西南民族地区，以立德树人为根本，致力于培养德、智、体、美、劳全面发展，具备小学美术教育专业基础理论知识，掌握小学美术教育基本技能，能在美术教育领域胜任小学美术课程教学，具有立志服务基础教育、服务乡村振兴、服务民族地区，具备：下得去、用得上、干得好、留得住、有发展的合格的小学美术教师。</w:t>
      </w:r>
    </w:p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1.素质目标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通过本专业课程学习，逐步提高学生的思想道德素质，掌握教育职业素质，形成高尚的人文素养，具备健康的身心素质，能够从事小学美术教育教学实践工作。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（1）思想道德素质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热爱社会主义，拥护共产党领导，具有爱国主义、集体主义、社会主义思想和良好的思想品德及社会公德，诚信、守法、明礼；具有爱岗敬业、团结合作、务实创新的良好职业道德和职业素质；具有立志服务基础教育、服务乡村振兴、服务民族地区，具备“下得去、用得上、干得好、留得住、有发展”的综合素质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（2）职业素质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热爱教育事业，具有正确的学生观、教师观、教育观和良好的教师职业道德修养；具有爱岗敬业、诚实守信、奉献社会的精神和严谨求实的作风；具有从事教育教学活动所必需的基本能力以及管理和创新素质；具有较强的自身专业发展能力；具有良好的审美判断素养，形成健康的审美情趣和人格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（3）人文素养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具有一定的文学、艺术修养和人文科学素养，具有一定的艺术修养和艺术鉴赏能力；有较好的语言表达能力和社会活动能力；善于观察，讲究科学的工作方法；谦虚好学，能适应科学技术的发展；思想开放，易于接受新思想、新技术和新事物；举止文雅，待人有礼，热爱生活，兴趣广泛，具有高尚的生活情操和审美情趣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（4）身心素质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具有健康的体魄，达到《国家体育锻炼标准》要求；具有基本体育运动和卫生保健知识；养成锻炼身体习惯，卫生习惯和行为习惯；勇于奋斗、乐观向上，具有自我管理能力、职业生涯规划的意识，有较强的集体意识和团队合作精神。具有良好的心理和健全的人格，能应付紧张的工作和承受一定强度的体力工作；具有良好的心理素质，遇事沉着冷静，自控能力强，对环境的变化有良好的适应性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2.知识目标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（1）文化知识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掌握本专业所必需文学、法律、政治、英语、心理等文化基础知识；掌握计算机应用基础知识、网络基础知识、多媒体技术基础知识。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（2）专业知识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了解中外美术基础知识，具有扎实的美术基础知识，掌握小学绘画的相关知识，能够洞悉时代发展的相关政策和方向；了解现行基础教育课程和教育管理现状，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（3）教育知识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全面理解和掌握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小学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美术教育基本理论、基础知识；掌握小学美术教育的相关知识；懂得小学美术教育规律，能够运用教育学心理学知识进行教学。了解和关注美术的理论动向及前沿课题；了解美术专业学科发展动向。掌握小学美术教学、课程设计、课堂教学知识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3.能力目标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（1）小学美术教育能力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掌握小学美术教育教学的基本能力、具备小学美术教学、课程设计、课堂教学能力。具有从事教育教学活动所必需的基本能力以及管理和创新能力。有较好的语言表达能力和社会活动能力；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（2）现代信息技术运用能力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掌握计算机应用基础运用、网络基础运用、多媒体技术运用的能力，能够运用现代教育信息技术进行小学美术教育教学的能力。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（3）专业绘画能力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具备从事小学美术教育教学应有的绘画能力，掌握本专业所必需基础绘画能力；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（4）科研能力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了解和关注美术的理论动向及前沿课题；了解专业学科发展动向。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560" w:lineRule="exact"/>
        <w:ind w:right="0" w:rightChars="0"/>
        <w:rPr>
          <w:rFonts w:hint="eastAsia"/>
        </w:rPr>
      </w:pPr>
      <w:bookmarkStart w:id="3" w:name="_Toc17420"/>
      <w:r>
        <w:rPr>
          <w:rFonts w:hint="eastAsia"/>
        </w:rPr>
        <w:t>（二）毕业要求</w:t>
      </w:r>
      <w:bookmarkEnd w:id="3"/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美术教育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专业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毕业要求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参照《小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学教师专业标准》，“践行师德、学会教学、学会育人、学会发展”。以立德树人为己任，遵守小学教师职业道德规范；具有从教意愿，掌握美术学科的基本知识、基本原理和基本教学技能；能够适应现代小学美术教育，符合小学教师专业标准，具有创新精神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和实践能力合格的小学美术教师。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1.践行师德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（1）师德规范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践行社会主义核心价值观，增进对中国特色社会主义的思想认同、政治认同、理论认同和情感认同。贯彻党的教育方针，以立德树人为己任。遵守小学教师职业道德规范，具有依法执教意识，立志成为有理想信念、有道德情操、有扎实学识、有仁爱之心的好老师。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（2）教育情怀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具有从教意愿，认同教师工作的意义和专业性，具有积极的情感、端正的态度、正确的价值观。具有人文底蕴和科学精神，尊重学生人格，富有爱心、责任心、事业心，工作细心、耐心，做学生锤炼品格、学习知识、创新思维、奉献祖国的引路人。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2.学会教学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（3）学科素养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具有一定的人文与科学素养。掌握美术学科的基本知识、基本原理和基本技能，理解美术学科知识体系基本构架和教学方法。具备一定的人文学科基本知识，对相关的学科知识有一定的了解。了解学科整合在小学美术教育中的价值，了解美术学科与其他学科的联系，以及与社会实践、小学生生活实践的联系。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（4）教学能力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在教育实践中，能够依据所教美术学科课程标准，针对小学生身心发展和认知特点，运用美术学科教学知识和信息技术，进行教学设计、实施和评价，获得教学体验，具备教学基本技能，具有初步的教学能力和一定的教学研究能力。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3.学会育人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（5）班级指导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树立德育为先理念，了解小学德育原理与方法。掌握班级组织与建设工作的规律和基本方法。能够在班主任工作实践中，参与德育和心理健康教育等教育活动的组织与指导，获得积极体验。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（6）综合育人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了解小学生身心发展和养成教育规律。理解美术学科育人价值，能够有机结合美术学科教学进行育人活动。了解学校文化和教育活动的育人内涵和方法，参与组织美育主题教育、少先队活动和社团活动，促进学生全面、健康发展。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4.学会发展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（7）学会反思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具有终身学习与专业发展意识。了解国内外基础教育改革发展动态，能够适应时代和教育发展需求，进行学习和职业生涯规划。初步掌握反思方法和技能，具有一定创新意识，运用批判性思维方法，学会分析和解决教育教学实际问题。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（8）沟通合作</w:t>
      </w:r>
    </w:p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理解学习共同体的作用，具有团队协作精神，掌握沟通合作技能，具有小组互助和合作学习体验。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 w:ascii="宋体" w:hAnsi="宋体" w:eastAsia="宋体" w:cs="宋体"/>
        </w:rPr>
      </w:pPr>
      <w:bookmarkStart w:id="4" w:name="_Toc3336"/>
      <w:r>
        <w:rPr>
          <w:rFonts w:hint="eastAsia" w:ascii="宋体" w:hAnsi="宋体" w:eastAsia="宋体" w:cs="宋体"/>
        </w:rPr>
        <w:t>（三）毕业要求支撑培养目标矩阵</w:t>
      </w:r>
      <w:bookmarkEnd w:id="4"/>
    </w:p>
    <w:tbl>
      <w:tblPr>
        <w:tblStyle w:val="1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3"/>
        <w:gridCol w:w="2142"/>
        <w:gridCol w:w="2208"/>
        <w:gridCol w:w="1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641" w:type="pct"/>
            <w:tcBorders>
              <w:tl2br w:val="single" w:color="auto" w:sz="4" w:space="0"/>
            </w:tcBorders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tabs>
                <w:tab w:val="left" w:pos="2029"/>
                <w:tab w:val="right" w:pos="2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right="0" w:rightChars="0" w:firstLine="904" w:firstLineChars="500"/>
              <w:jc w:val="left"/>
              <w:textAlignment w:val="auto"/>
              <w:rPr>
                <w:rFonts w:hint="default" w:ascii="宋体" w:hAnsi="宋体" w:cs="宋体"/>
                <w:b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sz w:val="18"/>
                <w:szCs w:val="18"/>
                <w:lang w:val="en-US" w:eastAsia="zh-CN"/>
              </w:rPr>
              <w:t>培养目标</w:t>
            </w:r>
          </w:p>
          <w:p>
            <w:pPr>
              <w:pStyle w:val="24"/>
              <w:keepNext w:val="0"/>
              <w:keepLines w:val="0"/>
              <w:pageBreakBefore w:val="0"/>
              <w:widowControl w:val="0"/>
              <w:tabs>
                <w:tab w:val="center" w:pos="1468"/>
                <w:tab w:val="right" w:pos="2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sz w:val="18"/>
                <w:szCs w:val="18"/>
                <w:lang w:val="en-US" w:eastAsia="zh-CN"/>
              </w:rPr>
              <w:t>毕业要求</w:t>
            </w:r>
          </w:p>
        </w:tc>
        <w:tc>
          <w:tcPr>
            <w:tcW w:w="1159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 w:val="0"/>
                <w:color w:val="000000"/>
                <w:sz w:val="18"/>
                <w:szCs w:val="18"/>
                <w:lang w:val="en-US" w:eastAsia="zh-CN"/>
              </w:rPr>
              <w:t>.素质目标</w:t>
            </w:r>
          </w:p>
        </w:tc>
        <w:tc>
          <w:tcPr>
            <w:tcW w:w="1195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sz w:val="18"/>
                <w:szCs w:val="18"/>
                <w:lang w:val="en-US" w:eastAsia="zh-CN"/>
              </w:rPr>
              <w:t>2.知识目标</w:t>
            </w:r>
          </w:p>
        </w:tc>
        <w:tc>
          <w:tcPr>
            <w:tcW w:w="1004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3.能力目标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641" w:type="pct"/>
            <w:vMerge w:val="restar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1.践行师德</w:t>
            </w:r>
          </w:p>
        </w:tc>
        <w:tc>
          <w:tcPr>
            <w:tcW w:w="1159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1195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1004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1" w:type="pct"/>
            <w:vMerge w:val="restar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2.学会教学</w:t>
            </w:r>
          </w:p>
        </w:tc>
        <w:tc>
          <w:tcPr>
            <w:tcW w:w="1159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1195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1004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641" w:type="pct"/>
            <w:vMerge w:val="restar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3.学会育人</w:t>
            </w:r>
          </w:p>
        </w:tc>
        <w:tc>
          <w:tcPr>
            <w:tcW w:w="1159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1195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641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4.学会发展</w:t>
            </w:r>
          </w:p>
        </w:tc>
        <w:tc>
          <w:tcPr>
            <w:tcW w:w="1159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95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H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方正公文黑体" w:hAnsi="方正公文黑体" w:eastAsia="方正公文黑体" w:cs="方正公文黑体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注：毕业要求与培养目标对应支撑度用H、M、L标注。其中H表示高度相关，M表示中等相关，L表示低相关。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page"/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560" w:lineRule="exact"/>
        <w:ind w:right="0" w:rightChars="0"/>
        <w:rPr>
          <w:rFonts w:hint="eastAsia" w:ascii="方正公文黑体" w:hAnsi="方正公文黑体" w:eastAsia="方正公文黑体" w:cs="方正公文黑体"/>
          <w:lang w:val="en-US" w:eastAsia="zh-CN"/>
        </w:rPr>
      </w:pPr>
      <w:bookmarkStart w:id="5" w:name="_Toc21870"/>
      <w:r>
        <w:rPr>
          <w:rFonts w:hint="eastAsia" w:ascii="方正公文黑体" w:hAnsi="方正公文黑体" w:eastAsia="方正公文黑体" w:cs="方正公文黑体"/>
          <w:lang w:val="en-US" w:eastAsia="zh-CN"/>
        </w:rPr>
        <w:t>四、专业核心课程介绍</w:t>
      </w:r>
      <w:bookmarkEnd w:id="5"/>
    </w:p>
    <w:tbl>
      <w:tblPr>
        <w:tblStyle w:val="19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162"/>
        <w:gridCol w:w="954"/>
        <w:gridCol w:w="3844"/>
        <w:gridCol w:w="2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名称</w:t>
            </w:r>
          </w:p>
        </w:tc>
        <w:tc>
          <w:tcPr>
            <w:tcW w:w="5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代码</w:t>
            </w:r>
          </w:p>
        </w:tc>
        <w:tc>
          <w:tcPr>
            <w:tcW w:w="20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主要教学内容</w:t>
            </w:r>
          </w:p>
        </w:tc>
        <w:tc>
          <w:tcPr>
            <w:tcW w:w="14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选用教材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教育学</w:t>
            </w:r>
          </w:p>
        </w:tc>
        <w:tc>
          <w:tcPr>
            <w:tcW w:w="5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zh-CN" w:eastAsia="zh-CN"/>
              </w:rPr>
              <w:t>10110102</w:t>
            </w:r>
          </w:p>
        </w:tc>
        <w:tc>
          <w:tcPr>
            <w:tcW w:w="208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教学内容；教育与教育学；教育的基本规律；学校教育制度；教育目的；教师与学生；课程；教学；德育；班级管理；教育科学研究等。</w:t>
            </w:r>
          </w:p>
        </w:tc>
        <w:tc>
          <w:tcPr>
            <w:tcW w:w="146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《教育学基础》；1999年版，2004年重印，北京：高等教育出版社.2004.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教育心理学</w:t>
            </w:r>
          </w:p>
        </w:tc>
        <w:tc>
          <w:tcPr>
            <w:tcW w:w="5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10110302</w:t>
            </w:r>
          </w:p>
        </w:tc>
        <w:tc>
          <w:tcPr>
            <w:tcW w:w="208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绪论；心理发展与教育；学习心理理论；陈述性知识的学习；程序性知识的学习；学习动机；学习迁移；品德的形成；学习策略；教师心理；教学心理等。</w:t>
            </w:r>
          </w:p>
        </w:tc>
        <w:tc>
          <w:tcPr>
            <w:tcW w:w="146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冯鸿滔。教育心理学.北京：高等教育出版社.2018.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小学美术课程与教学</w:t>
            </w:r>
          </w:p>
        </w:tc>
        <w:tc>
          <w:tcPr>
            <w:tcW w:w="5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zh-CN" w:eastAsia="zh-CN"/>
              </w:rPr>
              <w:t>20410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208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小学美术课程基础知识；小学绘画特点；美术课程与教材；小学美术发展心理变化；小学美术课程的教学目标；微格教学；教案、说课稿、课件等。</w:t>
            </w:r>
          </w:p>
        </w:tc>
        <w:tc>
          <w:tcPr>
            <w:tcW w:w="146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钱初熹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小学美术课程与教学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.北京：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高等教育出版社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2012.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微格教学</w:t>
            </w:r>
          </w:p>
        </w:tc>
        <w:tc>
          <w:tcPr>
            <w:tcW w:w="5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zh-CN" w:eastAsia="zh-CN"/>
              </w:rPr>
              <w:t>10110702</w:t>
            </w:r>
          </w:p>
        </w:tc>
        <w:tc>
          <w:tcPr>
            <w:tcW w:w="208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微格教学概述；微格教学技能；微格教学的设计与评价；微格教学实践等。</w:t>
            </w:r>
          </w:p>
        </w:tc>
        <w:tc>
          <w:tcPr>
            <w:tcW w:w="146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《微格教育概论》刘宗南著，天津大学出版社，2011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儿童美术</w:t>
            </w:r>
          </w:p>
        </w:tc>
        <w:tc>
          <w:tcPr>
            <w:tcW w:w="5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zh-CN" w:eastAsia="zh-CN"/>
              </w:rPr>
              <w:t>20410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208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小学画基础知识（特点、发展、造型元素等）；色彩；人物；植物；动物；景物；创作等</w:t>
            </w:r>
          </w:p>
        </w:tc>
        <w:tc>
          <w:tcPr>
            <w:tcW w:w="146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素描</w:t>
            </w:r>
          </w:p>
        </w:tc>
        <w:tc>
          <w:tcPr>
            <w:tcW w:w="5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zh-CN" w:eastAsia="zh-CN"/>
              </w:rPr>
              <w:t>2041012</w:t>
            </w:r>
          </w:p>
        </w:tc>
        <w:tc>
          <w:tcPr>
            <w:tcW w:w="208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素描基础知识；绘画透视；素描技能；石膏几何体；静物；风景；石膏头像；人物；素描创作等。</w:t>
            </w:r>
          </w:p>
        </w:tc>
        <w:tc>
          <w:tcPr>
            <w:tcW w:w="146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张乐天.素描基础教程[M].北京:北京教育出版社.2015.02.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色彩</w:t>
            </w:r>
          </w:p>
        </w:tc>
        <w:tc>
          <w:tcPr>
            <w:tcW w:w="5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20410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08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色彩基础知识；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静物写生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风景写生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人物写生等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46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马一平.色彩[M].重庆:西南师范大学出版社.2020.06.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中国画</w:t>
            </w:r>
          </w:p>
        </w:tc>
        <w:tc>
          <w:tcPr>
            <w:tcW w:w="5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zh-CN" w:eastAsia="zh-CN"/>
              </w:rPr>
              <w:t>204101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08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国画基础知识；工笔人物、花鸟；写意山水、花鸟、国画创作等。</w:t>
            </w:r>
          </w:p>
        </w:tc>
        <w:tc>
          <w:tcPr>
            <w:tcW w:w="146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杨建飞.国画技法入门[M].北京:中国书店出版社.2019.5。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560" w:lineRule="exact"/>
        <w:ind w:right="0" w:rightChars="0"/>
        <w:rPr>
          <w:rFonts w:hint="eastAsia" w:ascii="方正公文黑体" w:hAnsi="方正公文黑体" w:eastAsia="方正公文黑体" w:cs="方正公文黑体"/>
        </w:rPr>
      </w:pPr>
      <w:bookmarkStart w:id="6" w:name="_Toc22617"/>
      <w:r>
        <w:rPr>
          <w:rFonts w:hint="eastAsia" w:ascii="方正公文黑体" w:hAnsi="方正公文黑体" w:eastAsia="方正公文黑体" w:cs="方正公文黑体"/>
        </w:rPr>
        <w:t>五、课程体系与结构比例设置</w:t>
      </w:r>
      <w:bookmarkEnd w:id="6"/>
    </w:p>
    <w:tbl>
      <w:tblPr>
        <w:tblStyle w:val="18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1244"/>
        <w:gridCol w:w="3016"/>
        <w:gridCol w:w="1244"/>
        <w:gridCol w:w="1244"/>
        <w:gridCol w:w="12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6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性质</w:t>
            </w:r>
          </w:p>
        </w:tc>
        <w:tc>
          <w:tcPr>
            <w:tcW w:w="230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课程分类</w:t>
            </w:r>
          </w:p>
        </w:tc>
        <w:tc>
          <w:tcPr>
            <w:tcW w:w="20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学分结构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0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学分分布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分布比例</w:t>
            </w:r>
          </w:p>
        </w:tc>
        <w:tc>
          <w:tcPr>
            <w:tcW w:w="6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6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必修课</w:t>
            </w:r>
          </w:p>
        </w:tc>
        <w:tc>
          <w:tcPr>
            <w:tcW w:w="23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公共课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26.21%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专业基础课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15.86%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专业课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35.17%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77.24%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环节</w:t>
            </w:r>
          </w:p>
        </w:tc>
        <w:tc>
          <w:tcPr>
            <w:tcW w:w="1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入学教育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0.69%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美术专业写生实践一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0.69%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美术专业写生实践二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0.69%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微格教学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0.69%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美术专业观摩实践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0.69%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认识实习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0.69%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岗位实习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5.52%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毕业设计（论文）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1.38%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社会实践、劳动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0.69%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11.72%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6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选修课</w:t>
            </w:r>
          </w:p>
        </w:tc>
        <w:tc>
          <w:tcPr>
            <w:tcW w:w="23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公共选修课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5.52%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专业选修课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5.52%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11.03%</w:t>
            </w:r>
          </w:p>
        </w:tc>
        <w:tc>
          <w:tcPr>
            <w:tcW w:w="6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79" w:afterLines="25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</w:tr>
    </w:tbl>
    <w:p>
      <w:pPr>
        <w:rPr>
          <w:rFonts w:hint="eastAsia" w:ascii="方正公文黑体" w:hAnsi="方正公文黑体" w:eastAsia="方正公文黑体" w:cs="方正公文黑体"/>
        </w:rPr>
      </w:pPr>
      <w:bookmarkStart w:id="7" w:name="_Toc10418"/>
      <w:r>
        <w:rPr>
          <w:rFonts w:hint="eastAsia" w:ascii="方正公文黑体" w:hAnsi="方正公文黑体" w:eastAsia="方正公文黑体" w:cs="方正公文黑体"/>
        </w:rPr>
        <w:br w:type="page"/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560" w:lineRule="exact"/>
        <w:ind w:right="0" w:rightChars="0"/>
        <w:rPr>
          <w:rFonts w:hint="eastAsia" w:ascii="方正公文黑体" w:hAnsi="方正公文黑体" w:eastAsia="方正公文黑体" w:cs="方正公文黑体"/>
        </w:rPr>
      </w:pPr>
      <w:r>
        <w:rPr>
          <w:rFonts w:hint="eastAsia" w:ascii="方正公文黑体" w:hAnsi="方正公文黑体" w:eastAsia="方正公文黑体" w:cs="方正公文黑体"/>
        </w:rPr>
        <w:t>六、课程体系支撑毕业要求的矩阵</w:t>
      </w:r>
      <w:bookmarkEnd w:id="7"/>
    </w:p>
    <w:tbl>
      <w:tblPr>
        <w:tblStyle w:val="1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8"/>
        <w:gridCol w:w="895"/>
        <w:gridCol w:w="832"/>
        <w:gridCol w:w="810"/>
        <w:gridCol w:w="827"/>
        <w:gridCol w:w="823"/>
        <w:gridCol w:w="825"/>
        <w:gridCol w:w="779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vMerge w:val="restart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课程体系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毕业要求</w:t>
            </w:r>
          </w:p>
          <w:p>
            <w:pPr>
              <w:pStyle w:val="17"/>
              <w:keepNext w:val="0"/>
              <w:keepLines w:val="0"/>
              <w:pageBreakBefore w:val="0"/>
              <w:widowControl w:val="0"/>
              <w:tabs>
                <w:tab w:val="right" w:pos="246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4" w:type="pct"/>
            <w:gridSpan w:val="2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1.践行师德</w:t>
            </w:r>
          </w:p>
        </w:tc>
        <w:tc>
          <w:tcPr>
            <w:tcW w:w="885" w:type="pct"/>
            <w:gridSpan w:val="2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2.学会教学</w:t>
            </w:r>
          </w:p>
        </w:tc>
        <w:tc>
          <w:tcPr>
            <w:tcW w:w="891" w:type="pct"/>
            <w:gridSpan w:val="2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3.学会育人</w:t>
            </w:r>
          </w:p>
        </w:tc>
        <w:tc>
          <w:tcPr>
            <w:tcW w:w="839" w:type="pct"/>
            <w:gridSpan w:val="2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4.学会发展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vMerge w:val="continue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" w:type="pct"/>
            <w:shd w:val="clear" w:color="auto" w:fill="auto"/>
            <w:vAlign w:val="top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1.1</w:t>
            </w:r>
          </w:p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师德规范</w:t>
            </w:r>
          </w:p>
        </w:tc>
        <w:tc>
          <w:tcPr>
            <w:tcW w:w="450" w:type="pct"/>
            <w:shd w:val="clear" w:color="auto" w:fill="auto"/>
            <w:vAlign w:val="top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1.2</w:t>
            </w:r>
          </w:p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教育情怀</w:t>
            </w:r>
          </w:p>
        </w:tc>
        <w:tc>
          <w:tcPr>
            <w:tcW w:w="438" w:type="pct"/>
            <w:shd w:val="clear" w:color="auto" w:fill="auto"/>
            <w:vAlign w:val="top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2.1</w:t>
            </w:r>
          </w:p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学科素养</w:t>
            </w:r>
          </w:p>
        </w:tc>
        <w:tc>
          <w:tcPr>
            <w:tcW w:w="447" w:type="pct"/>
            <w:shd w:val="clear" w:color="auto" w:fill="auto"/>
            <w:vAlign w:val="top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2.2</w:t>
            </w:r>
          </w:p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教学能力</w:t>
            </w:r>
          </w:p>
        </w:tc>
        <w:tc>
          <w:tcPr>
            <w:tcW w:w="445" w:type="pct"/>
            <w:shd w:val="clear" w:color="auto" w:fill="auto"/>
            <w:vAlign w:val="top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3.1</w:t>
            </w:r>
          </w:p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班级指导</w:t>
            </w:r>
          </w:p>
        </w:tc>
        <w:tc>
          <w:tcPr>
            <w:tcW w:w="446" w:type="pct"/>
            <w:shd w:val="clear" w:color="auto" w:fill="auto"/>
            <w:vAlign w:val="top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3.2</w:t>
            </w:r>
          </w:p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综合育人</w:t>
            </w:r>
          </w:p>
        </w:tc>
        <w:tc>
          <w:tcPr>
            <w:tcW w:w="421" w:type="pct"/>
            <w:shd w:val="clear" w:color="auto" w:fill="auto"/>
            <w:vAlign w:val="top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4.1</w:t>
            </w:r>
          </w:p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学会反思</w:t>
            </w:r>
          </w:p>
        </w:tc>
        <w:tc>
          <w:tcPr>
            <w:tcW w:w="418" w:type="pct"/>
            <w:shd w:val="clear" w:color="auto" w:fill="auto"/>
            <w:vAlign w:val="top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4.2</w:t>
            </w:r>
          </w:p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沟通合作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思想道德与法治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毛泽东思想和中国特色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社会主义理论体系概论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习近平新时代中国特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色社会主义思想概论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形势与政策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军训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军事理论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大学生心理健康教育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大学英语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大学语文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L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计算机应用基础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体育与健康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职业生涯规划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就业指导与创新创业教育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禁毒与预防艾滋病专题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中华优秀传统文化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48" w:type="pct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劳动教育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国家安全教育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入学教育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教育学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普通话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教育心理学*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教学简笔画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小学美术课程与教学*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现代教育技术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微格教学*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专业写生实践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认识实习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岗位实习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中国美术史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L</w:t>
            </w: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外国美术史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教师书写技能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艺术概论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速写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手工制作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陶泥塑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素描*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色彩*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中国画*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水彩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彝族图形应用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民族美术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儿童美术*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电脑美术（cdr、ps）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H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纸艺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油画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版画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毕业设计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（论文）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毕业创作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社会实践、劳动</w:t>
            </w:r>
          </w:p>
        </w:tc>
        <w:tc>
          <w:tcPr>
            <w:tcW w:w="484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3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45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46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418" w:type="pct"/>
            <w:shd w:val="clear" w:color="auto" w:fill="auto"/>
            <w:vAlign w:val="center"/>
          </w:tcPr>
          <w:p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73" w:afterLines="55" w:line="5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  <w:sectPr>
          <w:footerReference r:id="rId4" w:type="default"/>
          <w:pgSz w:w="11906" w:h="16838"/>
          <w:pgMar w:top="1440" w:right="1440" w:bottom="144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注：“H”代表高相关，“M”代表中相关，“L”代表低相关，“*”代表核心课程。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560" w:lineRule="exact"/>
        <w:ind w:right="0" w:rightChars="0"/>
        <w:rPr>
          <w:rFonts w:hint="eastAsia" w:ascii="方正公文黑体" w:hAnsi="方正公文黑体" w:eastAsia="方正公文黑体" w:cs="方正公文黑体"/>
        </w:rPr>
      </w:pPr>
      <w:bookmarkStart w:id="8" w:name="_Toc9226"/>
      <w:r>
        <w:rPr>
          <w:rFonts w:hint="eastAsia" w:ascii="方正公文黑体" w:hAnsi="方正公文黑体" w:eastAsia="方正公文黑体" w:cs="方正公文黑体"/>
        </w:rPr>
        <w:t>七、主要实践性教学环节安排及要求</w:t>
      </w:r>
      <w:bookmarkEnd w:id="8"/>
    </w:p>
    <w:tbl>
      <w:tblPr>
        <w:tblStyle w:val="1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29"/>
        <w:gridCol w:w="757"/>
        <w:gridCol w:w="1516"/>
        <w:gridCol w:w="2088"/>
        <w:gridCol w:w="1213"/>
        <w:gridCol w:w="1264"/>
        <w:gridCol w:w="3287"/>
        <w:gridCol w:w="1014"/>
        <w:gridCol w:w="726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4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属性</w:t>
            </w:r>
          </w:p>
        </w:tc>
        <w:tc>
          <w:tcPr>
            <w:tcW w:w="2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54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课程代码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课程名称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性质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教学周数</w:t>
            </w:r>
          </w:p>
        </w:tc>
        <w:tc>
          <w:tcPr>
            <w:tcW w:w="117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主要内容及要求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开课学期</w:t>
            </w:r>
          </w:p>
        </w:tc>
        <w:tc>
          <w:tcPr>
            <w:tcW w:w="25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学分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403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节</w:t>
            </w:r>
          </w:p>
        </w:tc>
        <w:tc>
          <w:tcPr>
            <w:tcW w:w="2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4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10012501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入学教育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16学时</w:t>
            </w:r>
          </w:p>
        </w:tc>
        <w:tc>
          <w:tcPr>
            <w:tcW w:w="117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新生入学教育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校纪、校规、大学生手册、禁毒防艾、安全教育等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5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40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4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20410504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写生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一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24学时</w:t>
            </w:r>
          </w:p>
        </w:tc>
        <w:tc>
          <w:tcPr>
            <w:tcW w:w="117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素描风景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、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建筑速写、人物速写、学会观察、构图等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5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40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4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20411104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写生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二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24学时</w:t>
            </w:r>
          </w:p>
        </w:tc>
        <w:tc>
          <w:tcPr>
            <w:tcW w:w="117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色彩风景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写生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、人物场景速写、绘画素材收集等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5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00" w:hRule="atLeast"/>
          <w:jc w:val="center"/>
        </w:trPr>
        <w:tc>
          <w:tcPr>
            <w:tcW w:w="40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4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20412004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微格教学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必修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24学时</w:t>
            </w:r>
          </w:p>
        </w:tc>
        <w:tc>
          <w:tcPr>
            <w:tcW w:w="117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right="0" w:rightChars="0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校内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实验、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实训、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教案编写、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微格教学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模拟授课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等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5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40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10013001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美术专业观摩实践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24学时</w:t>
            </w:r>
          </w:p>
        </w:tc>
        <w:tc>
          <w:tcPr>
            <w:tcW w:w="117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美术展览观摩、毕业创作素材收集、地方民族文化收集、速写资料、调研报告等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5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40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4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04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认识实习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24学时</w:t>
            </w:r>
          </w:p>
        </w:tc>
        <w:tc>
          <w:tcPr>
            <w:tcW w:w="117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听课记录、教案编写、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美术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课外活动计划实践、教室文化、区角文化等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5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40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4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10013101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岗位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实习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192学时</w:t>
            </w:r>
          </w:p>
        </w:tc>
        <w:tc>
          <w:tcPr>
            <w:tcW w:w="117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巩固所学专业知识和技能，培养分析问题和解决问题的能力；获得初步的社会工作经验，培养沟通能力，合作精神，树立良好的职业道德观和社会责任感。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5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40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4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10013201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毕业设计（论文）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48学时</w:t>
            </w:r>
          </w:p>
        </w:tc>
        <w:tc>
          <w:tcPr>
            <w:tcW w:w="117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毕业设计（论文）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5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40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4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10013301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社会实践、劳动</w:t>
            </w:r>
          </w:p>
        </w:tc>
        <w:tc>
          <w:tcPr>
            <w:tcW w:w="4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24学时</w:t>
            </w:r>
          </w:p>
        </w:tc>
        <w:tc>
          <w:tcPr>
            <w:tcW w:w="117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社会调查、思政课实践教学、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公益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劳动等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各学期或寒暑假期</w:t>
            </w:r>
          </w:p>
        </w:tc>
        <w:tc>
          <w:tcPr>
            <w:tcW w:w="25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  <w:jc w:val="center"/>
        </w:trPr>
        <w:tc>
          <w:tcPr>
            <w:tcW w:w="40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89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教学周数合计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400学时</w:t>
            </w:r>
          </w:p>
        </w:tc>
        <w:tc>
          <w:tcPr>
            <w:tcW w:w="1535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学分合计</w:t>
            </w:r>
          </w:p>
        </w:tc>
        <w:tc>
          <w:tcPr>
            <w:tcW w:w="62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2" w:afterLines="6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7</w:t>
            </w:r>
          </w:p>
        </w:tc>
      </w:tr>
    </w:tbl>
    <w:p>
      <w:pPr>
        <w:pStyle w:val="17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leftChars="0" w:right="0" w:rightChars="0" w:firstLine="0" w:firstLineChars="0"/>
        <w:rPr>
          <w:rFonts w:hint="eastAsia" w:ascii="宋体" w:hAnsi="宋体" w:eastAsia="宋体" w:cs="宋体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560" w:lineRule="exact"/>
        <w:ind w:right="0" w:rightChars="0"/>
        <w:rPr>
          <w:rFonts w:hint="eastAsia" w:ascii="方正公文黑体" w:hAnsi="方正公文黑体" w:eastAsia="方正公文黑体" w:cs="方正公文黑体"/>
          <w:lang w:val="en-US" w:eastAsia="zh-CN"/>
        </w:rPr>
      </w:pPr>
      <w:bookmarkStart w:id="9" w:name="_Toc17868"/>
      <w:r>
        <w:rPr>
          <w:rFonts w:hint="eastAsia" w:ascii="方正公文黑体" w:hAnsi="方正公文黑体" w:eastAsia="方正公文黑体" w:cs="方正公文黑体"/>
          <w:lang w:val="en-US" w:eastAsia="zh-CN"/>
        </w:rPr>
        <w:t>八、教学计划及进程安排表</w:t>
      </w:r>
      <w:bookmarkEnd w:id="9"/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560" w:lineRule="exact"/>
        <w:ind w:right="0" w:rightChars="0"/>
        <w:jc w:val="center"/>
        <w:rPr>
          <w:rFonts w:hint="eastAsia"/>
          <w:lang w:val="en-US" w:eastAsia="zh-CN"/>
        </w:rPr>
      </w:pPr>
      <w:bookmarkStart w:id="10" w:name="_Toc23124"/>
      <w:r>
        <w:rPr>
          <w:rFonts w:hint="eastAsia"/>
          <w:lang w:val="en-US" w:eastAsia="zh-CN"/>
        </w:rPr>
        <w:t>（一）公共课程</w:t>
      </w:r>
      <w:bookmarkEnd w:id="10"/>
    </w:p>
    <w:tbl>
      <w:tblPr>
        <w:tblStyle w:val="18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558"/>
        <w:gridCol w:w="567"/>
        <w:gridCol w:w="558"/>
        <w:gridCol w:w="1103"/>
        <w:gridCol w:w="1993"/>
        <w:gridCol w:w="581"/>
        <w:gridCol w:w="575"/>
        <w:gridCol w:w="689"/>
        <w:gridCol w:w="689"/>
        <w:gridCol w:w="692"/>
        <w:gridCol w:w="689"/>
        <w:gridCol w:w="689"/>
        <w:gridCol w:w="689"/>
        <w:gridCol w:w="558"/>
        <w:gridCol w:w="689"/>
        <w:gridCol w:w="604"/>
        <w:gridCol w:w="717"/>
        <w:gridCol w:w="7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6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属性</w:t>
            </w:r>
          </w:p>
        </w:tc>
        <w:tc>
          <w:tcPr>
            <w:tcW w:w="1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号</w:t>
            </w:r>
          </w:p>
        </w:tc>
        <w:tc>
          <w:tcPr>
            <w:tcW w:w="38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代码</w:t>
            </w:r>
          </w:p>
        </w:tc>
        <w:tc>
          <w:tcPr>
            <w:tcW w:w="7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课程名称</w:t>
            </w:r>
          </w:p>
        </w:tc>
        <w:tc>
          <w:tcPr>
            <w:tcW w:w="2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性质</w:t>
            </w:r>
          </w:p>
        </w:tc>
        <w:tc>
          <w:tcPr>
            <w:tcW w:w="2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类型</w:t>
            </w:r>
          </w:p>
        </w:tc>
        <w:tc>
          <w:tcPr>
            <w:tcW w:w="7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教学学时数</w:t>
            </w:r>
          </w:p>
        </w:tc>
        <w:tc>
          <w:tcPr>
            <w:tcW w:w="138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开课学期和周学时数</w:t>
            </w: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学分数</w:t>
            </w:r>
          </w:p>
        </w:tc>
        <w:tc>
          <w:tcPr>
            <w:tcW w:w="2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考核类型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66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学时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学时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学时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一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二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三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四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五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六</w:t>
            </w: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公共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</w:t>
            </w:r>
          </w:p>
        </w:tc>
        <w:tc>
          <w:tcPr>
            <w:tcW w:w="39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程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10010101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思想道德与法治（上）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10010201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思想道德与法治（下）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10110301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毛泽东思想和中国特色社会主义理论体系概论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10010401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习近平新时代中国特色社会主义思想概论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10010501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形势与政策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10010601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军事理论(含军事技能)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10010701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大学生心理健康教育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10010801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大学英语（一）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10010901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大学英语（二）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10011001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大学英语（三）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10011101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大学英语（四）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10011201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大学语文（一）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10011301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大学语文（二）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10011401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计算机应用基础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10011501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体育与健康（一）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10011601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体育与健康（二）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10011701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体育与健康（三）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10011801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体育与健康（四）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10011901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职业生涯规划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10012001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就业指导与创新创业教育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10012101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禁毒与预防艾滋病专题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10012201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中华优秀传统文化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10012301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劳动教育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9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10012401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国家安全教育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720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452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268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212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程</w:t>
            </w:r>
          </w:p>
        </w:tc>
        <w:tc>
          <w:tcPr>
            <w:tcW w:w="1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思政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素养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模块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10030101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党史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10030201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新中国史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10030301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改革开放史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10030401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社会主义发展史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乡村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模块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10030501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乡村教师的专业发展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10030601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乡村教育特色课程的开发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10030701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乡村教师的情绪管理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10030801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乡村青少年成长问题面面观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9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民族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模块</w:t>
            </w:r>
          </w:p>
        </w:tc>
        <w:tc>
          <w:tcPr>
            <w:tcW w:w="1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10031301</w:t>
            </w:r>
          </w:p>
        </w:tc>
        <w:tc>
          <w:tcPr>
            <w:tcW w:w="7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彝文书法</w:t>
            </w:r>
          </w:p>
        </w:tc>
        <w:tc>
          <w:tcPr>
            <w:tcW w:w="2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化模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块</w:t>
            </w:r>
          </w:p>
        </w:tc>
        <w:tc>
          <w:tcPr>
            <w:tcW w:w="1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10031401</w:t>
            </w:r>
          </w:p>
        </w:tc>
        <w:tc>
          <w:tcPr>
            <w:tcW w:w="7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智慧教学设计</w:t>
            </w:r>
          </w:p>
        </w:tc>
        <w:tc>
          <w:tcPr>
            <w:tcW w:w="2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10031501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教育机器人编程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素质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拓展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模块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10031601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科技素养课程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10031701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社会素养课程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10031801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艺术素养课程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10031901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职业素养课程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452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268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212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17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1.《形势与政策》1-5学期分期授课，总学分为1学分；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2.公共选修课程：“思政素养模块”“民族教育模块”为限选课程；“乡村教育课程模块”为师范专业限选课程；“乡村振兴课程模块”为非师范专业限选课程。所有学生在校期间公共选修课程至少修满8个学分方能毕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（1）思政素养课程：《党史》《新中国史》《改革开放史》《社会主义发展史》；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（2）乡村教育课程：《乡村教师的专业发展》《乡村教育特色课程的开发》《乡村教师的情绪管理》《乡村青</w:t>
      </w:r>
      <w:r>
        <w:rPr>
          <w:rFonts w:hint="eastAsia" w:ascii="宋体" w:hAnsi="宋体" w:eastAsia="宋体" w:cs="宋体"/>
          <w:kern w:val="0"/>
          <w:sz w:val="21"/>
          <w:szCs w:val="21"/>
        </w:rPr>
        <w:t>少年成长问题面面观》《珍惜 敬畏 倾情--让我们努力做一名“四有”好老师》等；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1"/>
          <w:szCs w:val="21"/>
        </w:rPr>
        <w:t>）民族教育模块，各专业根据专业教育需求，结合学校办学实际、教学资源等情况自拟课程名称，师范类专业学生主要教学内容是民族教育学与民族教育史；非师范类专业学生主要教学内容是民族概况与民族风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1"/>
          <w:szCs w:val="21"/>
        </w:rPr>
        <w:t>）教育信息化模块：《智慧教学设计》《教育机器人编程》等。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bookmarkStart w:id="11" w:name="_Hlk105573771"/>
      <w:r>
        <w:rPr>
          <w:rFonts w:hint="eastAsia" w:ascii="宋体" w:hAnsi="宋体" w:eastAsia="宋体" w:cs="宋体"/>
          <w:kern w:val="0"/>
          <w:sz w:val="21"/>
          <w:szCs w:val="21"/>
        </w:rPr>
        <w:t>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1"/>
          <w:szCs w:val="21"/>
        </w:rPr>
        <w:t>）其他通识课程（素质拓展）模块：</w:t>
      </w:r>
      <w:bookmarkEnd w:id="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①科技素养课程：《科学概况》《世界科技文化史》《生命科学探索与人类文明》《地球与空间科学》等，《科学概况》包括节能减排、绿色环保、人口资源、森林草原与海洋科学等主题；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②社会素养课程：《国家安全与社会责任》《法律与社会》《经济与社会：如何用决策思维洞察生活》等；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③艺术素养课程：《艺术鉴赏》《音乐鉴赏》《舞蹈鉴赏》《美术鉴赏》等；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0" w:rightChars="0" w:firstLine="48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④职业素养课程：《职业素养》《工匠精神》《职业生涯提升》等。</w:t>
      </w:r>
    </w:p>
    <w:p>
      <w:pPr>
        <w:pStyle w:val="4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0" w:rightChars="0" w:firstLine="48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dotted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3.课程类型：“A”代表理论知识型课程、“B”代表理论实践型课程、“C”代表实践型课程。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br w:type="page"/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560" w:lineRule="exact"/>
        <w:ind w:right="0" w:rightChars="0"/>
        <w:jc w:val="center"/>
        <w:rPr>
          <w:rFonts w:hint="eastAsia" w:ascii="宋体" w:hAnsi="宋体" w:eastAsia="宋体" w:cs="宋体"/>
        </w:rPr>
      </w:pPr>
      <w:bookmarkStart w:id="12" w:name="_Toc20421"/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二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专业课程</w:t>
      </w:r>
      <w:bookmarkEnd w:id="12"/>
    </w:p>
    <w:tbl>
      <w:tblPr>
        <w:tblStyle w:val="18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813"/>
        <w:gridCol w:w="572"/>
        <w:gridCol w:w="552"/>
        <w:gridCol w:w="1326"/>
        <w:gridCol w:w="1680"/>
        <w:gridCol w:w="677"/>
        <w:gridCol w:w="680"/>
        <w:gridCol w:w="688"/>
        <w:gridCol w:w="688"/>
        <w:gridCol w:w="691"/>
        <w:gridCol w:w="688"/>
        <w:gridCol w:w="688"/>
        <w:gridCol w:w="688"/>
        <w:gridCol w:w="688"/>
        <w:gridCol w:w="553"/>
        <w:gridCol w:w="718"/>
        <w:gridCol w:w="579"/>
        <w:gridCol w:w="6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9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属性</w:t>
            </w:r>
          </w:p>
        </w:tc>
        <w:tc>
          <w:tcPr>
            <w:tcW w:w="1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4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课程代码</w:t>
            </w:r>
          </w:p>
        </w:tc>
        <w:tc>
          <w:tcPr>
            <w:tcW w:w="5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课程名称</w:t>
            </w:r>
          </w:p>
        </w:tc>
        <w:tc>
          <w:tcPr>
            <w:tcW w:w="2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性质</w:t>
            </w:r>
          </w:p>
        </w:tc>
        <w:tc>
          <w:tcPr>
            <w:tcW w:w="2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类型</w:t>
            </w:r>
          </w:p>
        </w:tc>
        <w:tc>
          <w:tcPr>
            <w:tcW w:w="7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教学学时数</w:t>
            </w:r>
          </w:p>
        </w:tc>
        <w:tc>
          <w:tcPr>
            <w:tcW w:w="142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开课学期和周学时数</w:t>
            </w:r>
          </w:p>
        </w:tc>
        <w:tc>
          <w:tcPr>
            <w:tcW w:w="20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学分数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69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学时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学时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一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二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三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四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五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六</w:t>
            </w:r>
          </w:p>
        </w:tc>
        <w:tc>
          <w:tcPr>
            <w:tcW w:w="20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</w:t>
            </w:r>
          </w:p>
        </w:tc>
        <w:tc>
          <w:tcPr>
            <w:tcW w:w="2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基础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修）</w:t>
            </w:r>
          </w:p>
        </w:tc>
        <w:tc>
          <w:tcPr>
            <w:tcW w:w="2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程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10110102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教育学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10110202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普通话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10110302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教育心理学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10110402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教学简笔画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10110502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教师职业道德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10110602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现代教育技术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10110702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教师书写技能一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10110802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教师书写技能二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10110902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教育政策法规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10111002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微格教学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10111102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中国美术史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10111202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外国美术史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10111302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艺术概论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10111402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速写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376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专业课必修课程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20410104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素描一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20410204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色彩一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20410304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素描二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20410404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色彩二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20410604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中国画一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20410704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水彩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20410904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彝族图形应用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20411004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中国画二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20411104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儿童美术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20411204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电脑美术（cdr、ps）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20411304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小学美术课程与教学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20411404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手工制作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20411504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陶泥塑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20411604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油画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20411704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版画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20411804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毕业绘画创作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568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专业选修课程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20410104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创意设计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20410204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pop美术字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20410304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装饰画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20410404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插画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20410504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商业品延伸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20410604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纸艺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20410704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彝族刺绣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20410804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教玩具制作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20410904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彝族银饰制作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20411004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摄影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20411104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彝族漆艺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20411204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墙绘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20411304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书法与篆刻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20411404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彝族美术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20411504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古彝图形绘画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20411604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儿童绘本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5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944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312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240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224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5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专业课程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合计周课时数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5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全部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课程合计周课时数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5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课时百分比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45%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55%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21%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20%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18%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16%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12%</w:t>
            </w:r>
          </w:p>
        </w:tc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11%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</w:p>
    <w:p>
      <w:pPr>
        <w:pStyle w:val="17"/>
        <w:rPr>
          <w:rFonts w:hint="eastAsia" w:cs="宋体"/>
          <w:color w:val="FF0000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rPr>
          <w:rFonts w:hint="eastAsia" w:ascii="宋体" w:hAnsi="宋体" w:eastAsia="宋体" w:cs="宋体"/>
          <w:bCs w:val="0"/>
          <w:color w:val="000000"/>
          <w:kern w:val="0"/>
          <w:sz w:val="24"/>
          <w:szCs w:val="24"/>
          <w:lang w:val="en-US" w:eastAsia="zh-CN" w:bidi="ar-SA"/>
        </w:rPr>
        <w:sectPr>
          <w:headerReference r:id="rId5" w:type="default"/>
          <w:pgSz w:w="16838" w:h="11906" w:orient="landscape"/>
          <w:pgMar w:top="1440" w:right="1440" w:bottom="144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34" w:charSpace="0"/>
        </w:sect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560" w:lineRule="exact"/>
        <w:ind w:right="0" w:rightChars="0"/>
        <w:rPr>
          <w:rFonts w:hint="eastAsia" w:ascii="方正公文黑体" w:hAnsi="方正公文黑体" w:eastAsia="方正公文黑体" w:cs="方正公文黑体"/>
        </w:rPr>
      </w:pPr>
      <w:bookmarkStart w:id="13" w:name="_Toc13576"/>
      <w:r>
        <w:rPr>
          <w:rFonts w:hint="eastAsia" w:ascii="方正公文黑体" w:hAnsi="方正公文黑体" w:eastAsia="方正公文黑体" w:cs="方正公文黑体"/>
        </w:rPr>
        <w:t>九、教学进程表</w:t>
      </w:r>
      <w:bookmarkEnd w:id="13"/>
    </w:p>
    <w:tbl>
      <w:tblPr>
        <w:tblStyle w:val="18"/>
        <w:tblW w:w="50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0"/>
        <w:gridCol w:w="460"/>
        <w:gridCol w:w="402"/>
        <w:gridCol w:w="404"/>
        <w:gridCol w:w="405"/>
        <w:gridCol w:w="405"/>
        <w:gridCol w:w="409"/>
        <w:gridCol w:w="405"/>
        <w:gridCol w:w="405"/>
        <w:gridCol w:w="407"/>
        <w:gridCol w:w="407"/>
        <w:gridCol w:w="409"/>
        <w:gridCol w:w="407"/>
        <w:gridCol w:w="405"/>
        <w:gridCol w:w="407"/>
        <w:gridCol w:w="407"/>
        <w:gridCol w:w="409"/>
        <w:gridCol w:w="407"/>
        <w:gridCol w:w="405"/>
        <w:gridCol w:w="406"/>
        <w:gridCol w:w="408"/>
        <w:gridCol w:w="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253" w:type="pct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年</w:t>
            </w:r>
          </w:p>
        </w:tc>
        <w:tc>
          <w:tcPr>
            <w:tcW w:w="253" w:type="pct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期</w:t>
            </w:r>
          </w:p>
        </w:tc>
        <w:tc>
          <w:tcPr>
            <w:tcW w:w="4493" w:type="pct"/>
            <w:gridSpan w:val="20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教学周历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25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22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</w:t>
            </w:r>
          </w:p>
        </w:tc>
        <w:tc>
          <w:tcPr>
            <w:tcW w:w="2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253" w:type="pct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</w:t>
            </w:r>
          </w:p>
        </w:tc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2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☆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☆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☉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◆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◆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25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☉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◆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◆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253" w:type="pct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二</w:t>
            </w:r>
          </w:p>
        </w:tc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☉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◆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◆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25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4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☉</w:t>
            </w:r>
          </w:p>
        </w:tc>
        <w:tc>
          <w:tcPr>
            <w:tcW w:w="4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◆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◆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253" w:type="pct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三</w:t>
            </w:r>
          </w:p>
        </w:tc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2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  <w:tc>
          <w:tcPr>
            <w:tcW w:w="2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25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5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2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◇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◇</w:t>
            </w:r>
          </w:p>
        </w:tc>
        <w:tc>
          <w:tcPr>
            <w:tcW w:w="2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◇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◇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◆</w:t>
            </w:r>
          </w:p>
        </w:tc>
        <w:tc>
          <w:tcPr>
            <w:tcW w:w="22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◆</w:t>
            </w:r>
          </w:p>
        </w:tc>
        <w:tc>
          <w:tcPr>
            <w:tcW w:w="2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※</w:t>
            </w:r>
          </w:p>
        </w:tc>
        <w:tc>
          <w:tcPr>
            <w:tcW w:w="2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※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符号说明：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☆军训、入学教育    ★劳动教育    □课程教学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☉认识实习    ■岗位实习    ◆复习考试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 ◇毕业设计    ※就业指导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 w:ascii="方正公文黑体" w:hAnsi="方正公文黑体" w:eastAsia="方正公文黑体" w:cs="方正公文黑体"/>
        </w:rPr>
      </w:pPr>
      <w:bookmarkStart w:id="14" w:name="_Toc22630"/>
      <w:r>
        <w:rPr>
          <w:rFonts w:hint="eastAsia" w:ascii="方正公文黑体" w:hAnsi="方正公文黑体" w:eastAsia="方正公文黑体" w:cs="方正公文黑体"/>
        </w:rPr>
        <w:t>十、毕业条件</w:t>
      </w:r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本专业的学生在规定的学习时间内，完成人才培养方案规定的所有必修课程的学习并考试（考核）合格，同时完成规定的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16</w:t>
      </w:r>
      <w:r>
        <w:rPr>
          <w:rFonts w:hint="eastAsia" w:ascii="宋体" w:hAnsi="宋体" w:eastAsia="宋体" w:cs="宋体"/>
          <w:sz w:val="21"/>
          <w:szCs w:val="21"/>
        </w:rPr>
        <w:t>学分数的选修课学习，总学分数达到最低毕业学分数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14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及以上，毕业学时达到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2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68</w:t>
      </w:r>
      <w:r>
        <w:rPr>
          <w:rFonts w:hint="eastAsia" w:ascii="宋体" w:hAnsi="宋体" w:eastAsia="宋体" w:cs="宋体"/>
          <w:sz w:val="21"/>
          <w:szCs w:val="21"/>
        </w:rPr>
        <w:t>学时以上；大学生综合素质测评考核达到学校相关规定要求；其它上级文件规定要求达到的毕业条件，通过毕业审核，准予毕业并获得国家教育部颁发的普通高等学校毕业证书（专科）。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 w:ascii="方正公文黑体" w:hAnsi="方正公文黑体" w:eastAsia="方正公文黑体" w:cs="方正公文黑体"/>
        </w:rPr>
      </w:pPr>
      <w:bookmarkStart w:id="15" w:name="_Toc18695"/>
      <w:r>
        <w:rPr>
          <w:rFonts w:hint="eastAsia" w:ascii="方正公文黑体" w:hAnsi="方正公文黑体" w:eastAsia="方正公文黑体" w:cs="方正公文黑体"/>
        </w:rPr>
        <w:t>十一、实施保障</w:t>
      </w:r>
      <w:bookmarkEnd w:id="15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/>
        </w:rPr>
      </w:pPr>
      <w:bookmarkStart w:id="16" w:name="_Toc10855"/>
      <w:r>
        <w:rPr>
          <w:rFonts w:hint="eastAsia"/>
        </w:rPr>
        <w:t>（一）师资队伍</w:t>
      </w:r>
      <w:bookmarkEnd w:id="1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bookmarkStart w:id="17" w:name="_Toc14218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1.师资现况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专</w:t>
      </w:r>
      <w:bookmarkEnd w:id="17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本专业有专任教师12人，其中在读博士3人，专业带头人1人，硕士研究生7人；高级技术职称1人、讲师3人、助教3人；硕士以上学位教师占比70%；“双师素质”教师2人，占比达到20%，兼职教师6人。团队专兼结合，有聘请来自行业企业的校外兼职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bookmarkStart w:id="18" w:name="_Toc11517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2.专任教师任职资格</w:t>
      </w:r>
      <w:bookmarkEnd w:id="1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（1）硕士研究生以上学历，所学专业须与承担的专业课程紧密联系；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或从教5年以上具有中级职称以上的美术专业教师。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（2）具有高等学校教师任职资格；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（3）具有良好的教师职业道德修养，爱岗敬业，严谨治学，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有仁爱之心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（4）具有扎实的美术专业知识和专业技能，了解美术教育领域的前沿动态；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（5）具有较强的教育教学能力，教育科研能力和教学创新能力；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（6）具有较强的美术实践能力，演艺组织能力和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班级管理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（7）能熟练使用多媒体教学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设备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和信息技术手段。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bookmarkStart w:id="19" w:name="_Toc3923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3.兼职教师任职资格</w:t>
      </w:r>
      <w:bookmarkEnd w:id="1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）有良好的思想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道德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素质和职业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素养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热爱学生；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（2）外聘行业兼职教师应熟悉美术教育领域实际情况，拥有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5年以上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的一线工作经验。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（3）具有良好的沟通和教学能力，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实践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经验丰富；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（4）能够遵守学校对兼职教师管理的各项规章制度。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（5）具有强烈的职业责任感和专业认同感，不仅在知识技能方面，并且能在情感方面给学生以积极的影响。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/>
        </w:rPr>
      </w:pPr>
      <w:bookmarkStart w:id="20" w:name="_Toc25139"/>
      <w:r>
        <w:rPr>
          <w:rFonts w:hint="eastAsia"/>
        </w:rPr>
        <w:t>（二）教学设施</w:t>
      </w:r>
      <w:bookmarkEnd w:id="2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bookmarkStart w:id="21" w:name="_Toc30247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1.校内实习实训室</w:t>
      </w:r>
      <w:bookmarkEnd w:id="2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本专业校内拥有实训室16间，艺术长廊画室6间，小画室6间，国画、书法室2间。每间教室配备一体机，每个学生配备专业工具画板画架等，学习环境良好，教学资源丰盈，惠及专业所有学生；多间多媒体教室供学生查询网络资源；图书馆拥有30余万册图书，美术专业图书3000余册，供学生查阅研读；拥有标准微格教室、试讲教室供学生进行教学模拟实训、实践；拥有独立的雏鹰剧场供学生演出和艺术实践；拥有校外实践基地42个，5个校企合作单位，保障学生体验实训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表8-1校内实习实训室</w:t>
      </w:r>
    </w:p>
    <w:tbl>
      <w:tblPr>
        <w:tblStyle w:val="18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2066"/>
        <w:gridCol w:w="888"/>
        <w:gridCol w:w="2758"/>
        <w:gridCol w:w="2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lang w:eastAsia="zh-CN"/>
              </w:rPr>
              <w:t>实训室名称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lang w:eastAsia="zh-CN"/>
              </w:rPr>
              <w:t>地点</w:t>
            </w:r>
          </w:p>
        </w:tc>
        <w:tc>
          <w:tcPr>
            <w:tcW w:w="1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lang w:eastAsia="zh-CN"/>
              </w:rPr>
              <w:t>主要设备</w:t>
            </w:r>
          </w:p>
        </w:tc>
        <w:tc>
          <w:tcPr>
            <w:tcW w:w="15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lang w:eastAsia="zh-CN"/>
              </w:rPr>
              <w:t>主要实训项目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绘画教室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六教</w:t>
            </w:r>
          </w:p>
        </w:tc>
        <w:tc>
          <w:tcPr>
            <w:tcW w:w="1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素描、色彩绘画设施</w:t>
            </w:r>
          </w:p>
        </w:tc>
        <w:tc>
          <w:tcPr>
            <w:tcW w:w="15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素描、色彩实训、练习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国画教室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六教</w:t>
            </w:r>
          </w:p>
        </w:tc>
        <w:tc>
          <w:tcPr>
            <w:tcW w:w="1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中国画实训设施</w:t>
            </w:r>
          </w:p>
        </w:tc>
        <w:tc>
          <w:tcPr>
            <w:tcW w:w="15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中国画实训、练习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书法教室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六教</w:t>
            </w:r>
          </w:p>
        </w:tc>
        <w:tc>
          <w:tcPr>
            <w:tcW w:w="1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书法练习设备</w:t>
            </w:r>
          </w:p>
        </w:tc>
        <w:tc>
          <w:tcPr>
            <w:tcW w:w="15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书法练习实训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人物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写生室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六教</w:t>
            </w:r>
          </w:p>
        </w:tc>
        <w:tc>
          <w:tcPr>
            <w:tcW w:w="1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人物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写生设备</w:t>
            </w:r>
          </w:p>
        </w:tc>
        <w:tc>
          <w:tcPr>
            <w:tcW w:w="15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人物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绘画实训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彝族图形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实训室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实训楼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1.多媒体教学系统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图形实训操作设备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3.一体化操作平台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4.电脑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设备</w:t>
            </w:r>
          </w:p>
        </w:tc>
        <w:tc>
          <w:tcPr>
            <w:tcW w:w="15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1.小学美术教育手工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彝族图形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实训手工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彝族服饰图形手工制作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陶艺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实训室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实训楼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S10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1.拉坯机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2.泥板机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3.电窑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4.修坯机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5.陶艺模具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6.练泥机</w:t>
            </w:r>
          </w:p>
        </w:tc>
        <w:tc>
          <w:tcPr>
            <w:tcW w:w="15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1.陶艺制作。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2.手工制作。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3.雕刻制作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4.陶泥塑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5.泥塑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6.陶瓷工艺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漆艺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实训室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实训楼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S106</w:t>
            </w:r>
          </w:p>
        </w:tc>
        <w:tc>
          <w:tcPr>
            <w:tcW w:w="1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1.多媒体教学系统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漆艺设备、设施、桌子等</w:t>
            </w:r>
          </w:p>
        </w:tc>
        <w:tc>
          <w:tcPr>
            <w:tcW w:w="15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漆艺制作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手工制作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手工制作实训室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实训楼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04</w:t>
            </w:r>
          </w:p>
        </w:tc>
        <w:tc>
          <w:tcPr>
            <w:tcW w:w="1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1.多媒体教学系统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图形实训操作设备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3.一体化操作平台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4.电脑</w:t>
            </w:r>
          </w:p>
        </w:tc>
        <w:tc>
          <w:tcPr>
            <w:tcW w:w="15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1.手工制作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2.教玩具制作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3.非遗设计制作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4.民族工艺设计制作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平面设计实训室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实训楼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06</w:t>
            </w:r>
          </w:p>
        </w:tc>
        <w:tc>
          <w:tcPr>
            <w:tcW w:w="1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1.多媒体教学系统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图形实训操作设备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3.一体化操作平台</w:t>
            </w:r>
          </w:p>
        </w:tc>
        <w:tc>
          <w:tcPr>
            <w:tcW w:w="15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1.平面设计制作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2.现代工艺设计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3.民族图形制作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微格实训室</w:t>
            </w:r>
          </w:p>
        </w:tc>
        <w:tc>
          <w:tcPr>
            <w:tcW w:w="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六教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1-5楼</w:t>
            </w:r>
          </w:p>
        </w:tc>
        <w:tc>
          <w:tcPr>
            <w:tcW w:w="1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1.多媒体教学系统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教学录放设备。</w:t>
            </w:r>
          </w:p>
        </w:tc>
        <w:tc>
          <w:tcPr>
            <w:tcW w:w="15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1.教学技能训练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2.普通话训练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bookmarkStart w:id="22" w:name="_Toc9740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2.校外实践教学基地</w:t>
      </w:r>
      <w:bookmarkEnd w:id="22"/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校外实践教学基地是学校教育专业的重要组成部分，是培养高技能人才培养目标不可或缺的重要环节。为培养合格的小学美术教师，满足用人单位的需求，美术教育专业与42个对口学校和相关企事业单位签订了校外实践教学基地合约，签约的校外实践基地具有一定规模且相对稳定，能够实施职前岗位技能实训、顶岗实习(或岗位实践)、毕业实践等实践教学等活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  <w:lang w:val="en-US"/>
        </w:rPr>
      </w:pPr>
      <w:bookmarkStart w:id="23" w:name="_Toc1533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（三）教学资源</w:t>
      </w:r>
      <w:bookmarkEnd w:id="2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bookmarkStart w:id="24" w:name="_Toc22677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1.教材选用基本要求</w:t>
      </w:r>
      <w:bookmarkEnd w:id="2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按照国家规定，择优选用教材，原则上选用近三年高职高专规划教材。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bookmarkStart w:id="25" w:name="_Toc18569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2.学校建有7000多平方米的图书馆，藏有纸质图书30余万册，镜像电子图书5万种，在线电子图书超过100万种。</w:t>
      </w:r>
      <w:bookmarkEnd w:id="25"/>
      <w:r>
        <w:rPr>
          <w:rFonts w:hint="eastAsia" w:ascii="宋体" w:hAnsi="宋体" w:eastAsia="宋体" w:cs="宋体"/>
          <w:b w:val="0"/>
          <w:bCs/>
          <w:sz w:val="21"/>
          <w:szCs w:val="21"/>
        </w:rPr>
        <w:t>美术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绘画类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3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000余册，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教育专业书刊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481种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bookmarkStart w:id="26" w:name="_Toc17521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3.数字教学资源配置基本要求</w:t>
      </w:r>
      <w:bookmarkEnd w:id="2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建设、配备与本专业有关的音视频素材、教学课件、数字化教学案例库、虚拟仿真软件、数字教材等专业教学资源库，种类丰富、形式多样、使用便捷、动态更新、满足教学。使用建筑云课、智慧职教、雨课堂等平台及精品资源共享课程平台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27" w:name="_Toc23615"/>
      <w:r>
        <w:rPr>
          <w:rFonts w:hint="eastAsia" w:ascii="宋体" w:hAnsi="宋体" w:eastAsia="宋体" w:cs="宋体"/>
          <w:sz w:val="21"/>
          <w:szCs w:val="21"/>
        </w:rPr>
        <w:t>（四）教学方法</w:t>
      </w:r>
      <w:bookmarkEnd w:id="2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本专业课程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主要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立足于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凉山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地域文化，结合当代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美术教育理念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，着眼于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小学美术教师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行业及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地方人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才真实需求，针对不同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教学内容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的重点和难点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主要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采用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：讲授法、演示法、练习法、任务驱动法、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项目驱动法、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参观教学法、自主学习法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等，提高学生专业基本功，掌握小学美术教育的基础理论、基础知识与基本技能，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运用现代信息化教育教学手段和企业资源，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培养学生的实践操作能力。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讲授法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通过教师艺术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instrText xml:space="preserve"> HYPERLINK "https://baike.so.com/doc/5417756-5655904.html" \t "https://baike.so.com/doc/_blank" </w:instrTex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语言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描述、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讲解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、解释、推论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生动的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instrText xml:space="preserve"> HYPERLINK "https://baike.so.com/doc/1365992-1443928.html" \t "https://baike.so.com/doc/_blank" </w:instrTex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语言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向学生传授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专业基础理论、基础知识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发展学生智力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增长学生的专业知识，拓宽知识面。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bookmarkStart w:id="28" w:name="5373845-5609853-4_2"/>
      <w:bookmarkEnd w:id="28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直观演示法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通过教师在课堂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内外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展示各种实物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，或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进行示范性实验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演示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，让学生通过观察获得感性认识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引导学生进行专业技能学习。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bookmarkStart w:id="29" w:name="5373845-5609853-4_4"/>
      <w:bookmarkEnd w:id="29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练习法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学生在教师的指导下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通过实操练习，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巩固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专业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知识、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提高专业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技能技巧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bookmarkStart w:id="30" w:name="5373845-5609853-4_5"/>
      <w:bookmarkEnd w:id="30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4.</w:t>
      </w:r>
      <w:bookmarkStart w:id="31" w:name="5373845-5609853-4_6"/>
      <w:bookmarkEnd w:id="31"/>
      <w:r>
        <w:rPr>
          <w:rFonts w:hint="eastAsia" w:ascii="宋体" w:hAnsi="宋体" w:eastAsia="宋体" w:cs="宋体"/>
          <w:b w:val="0"/>
          <w:bCs/>
          <w:sz w:val="21"/>
          <w:szCs w:val="21"/>
        </w:rPr>
        <w:t>任务驱动法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通过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教师给学生布置探究性的学习任务，学生查阅资料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调研、实践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，对知识体系进行整理，再选出代表进行讲解，最后由教师进行总结。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促使学生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达到共同学习的目的。在完成"任务"的过程中，培养分析问题、解决问题的能力，培养学生独立探索及合作精神。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bookmarkStart w:id="32" w:name="5373845-5609853-4_7"/>
      <w:bookmarkEnd w:id="32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参观教学法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组织或指导学习进行实地观察、调查、研究和学习，从而获得新知识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巩固已学知识，掌握最新的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前沿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bookmarkStart w:id="33" w:name="5373845-5609853-4_8"/>
      <w:bookmarkEnd w:id="33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自主学习法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通常给学生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预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留思考题或对遇到一些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实际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问题，让学生利用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instrText xml:space="preserve"> HYPERLINK "https://baike.so.com/doc/5350883-5586339.html" \t "https://baike.so.com/doc/_blank" </w:instrTex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网络资源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自主学习寻找答案，提出解决问题的措施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和方法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，然后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进行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讨论评价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并撰写学习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心得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借以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拓展学生的视野，培养学生的学习习惯和自主学习能力，锻炼学生的综合素质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34" w:name="_Toc27393"/>
      <w:r>
        <w:rPr>
          <w:rFonts w:hint="eastAsia" w:ascii="宋体" w:hAnsi="宋体" w:eastAsia="宋体" w:cs="宋体"/>
          <w:sz w:val="21"/>
          <w:szCs w:val="21"/>
        </w:rPr>
        <w:t>（五）学习评价</w:t>
      </w:r>
      <w:bookmarkEnd w:id="3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根据培养目标要求，采用多元化考核评价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教学评价以过程评价和结果评价相结合，课内评价和课外评价结合，理论评价和实践评价相结合，校内评价和校外评价相结合，教师评价和学生互评相结合，加强实践性教学环节的考核，采用形成性评价和终结性评价相结合的考核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1.形成性评价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形成性评价：是对学生日常学习过程中的表现，所取得的成绩，以及所反映出的情况，情感态度策略等方面的发展作出评价，其目的是激励学生学习，帮助学生有效调控自己的学习过程，使学生获得成就感，增强自信心，培养合作精神。形成性评价，有利于学生从被动接受评价，转变为评价的主体和积极参与者，为了使评价有机地融入教学过程，建立开放宽松的评价氛围。以测试和非测试的方式，以及个人与小组合作的方式进行评价，鼓励学生与教师共同参与评价，实现评价主体的多元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平时考核：包括上课出勤、课堂问答、平时作业等。侧重考查学生的学习态度、学习方法和学习积极性。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实践考核：主要是学生平时实践作业、比赛成绩等组成；侧重考核学生知识、技能的掌握情况。侧重关注学生的书写技能的成长过程变化。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2.终结性评价：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期末考试：侧重考核学生对学科基本知识和基本技能的理解掌握程度、动手创作的能力、作品的完整度、创新性、规范性等考核标准。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总成绩=平时考核+实践考核+期末考试</w:t>
      </w:r>
    </w:p>
    <w:tbl>
      <w:tblPr>
        <w:tblStyle w:val="19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2801"/>
        <w:gridCol w:w="3641"/>
        <w:gridCol w:w="1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考核项目</w:t>
            </w:r>
          </w:p>
        </w:tc>
        <w:tc>
          <w:tcPr>
            <w:tcW w:w="1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考核内容</w:t>
            </w:r>
          </w:p>
        </w:tc>
        <w:tc>
          <w:tcPr>
            <w:tcW w:w="19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考核形式</w:t>
            </w:r>
          </w:p>
        </w:tc>
        <w:tc>
          <w:tcPr>
            <w:tcW w:w="7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成绩比例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形成评价</w:t>
            </w:r>
          </w:p>
        </w:tc>
        <w:tc>
          <w:tcPr>
            <w:tcW w:w="1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过程评价</w:t>
            </w:r>
          </w:p>
        </w:tc>
        <w:tc>
          <w:tcPr>
            <w:tcW w:w="19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出勤、学习态度、回答问题等</w:t>
            </w:r>
          </w:p>
        </w:tc>
        <w:tc>
          <w:tcPr>
            <w:tcW w:w="7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作业、比赛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成绩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综合素质</w:t>
            </w:r>
          </w:p>
        </w:tc>
        <w:tc>
          <w:tcPr>
            <w:tcW w:w="19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学习能力，学习效果、掌握知识技能的程度</w:t>
            </w:r>
          </w:p>
        </w:tc>
        <w:tc>
          <w:tcPr>
            <w:tcW w:w="7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终结评价</w:t>
            </w:r>
          </w:p>
        </w:tc>
        <w:tc>
          <w:tcPr>
            <w:tcW w:w="1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期末考试</w:t>
            </w:r>
          </w:p>
        </w:tc>
        <w:tc>
          <w:tcPr>
            <w:tcW w:w="19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考试、考查</w:t>
            </w:r>
          </w:p>
        </w:tc>
        <w:tc>
          <w:tcPr>
            <w:tcW w:w="7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97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7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100%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35" w:name="_Toc18134"/>
      <w:r>
        <w:rPr>
          <w:rFonts w:hint="eastAsia" w:ascii="宋体" w:hAnsi="宋体" w:eastAsia="宋体" w:cs="宋体"/>
          <w:sz w:val="21"/>
          <w:szCs w:val="21"/>
        </w:rPr>
        <w:t>（六）质量管理</w:t>
      </w:r>
      <w:bookmarkEnd w:id="3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20" w:firstLineChars="20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根据《关于印发〈高等职业院校内部质量保证体系诊断与改进指导方案（试行）〉相关工作的通知》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《国家教育中长期改革和发展规划纲要》等文件精神，以全面质量管理思想为指导，聚焦学生学习过程体验和学习成效，以同类院校的特色专业和课程为标杆，开展对标研究，服务学生发展增值，建立常态化的专业（课程）质量保证诊断与改进机制。从人才培养过程出发，确定人才培养各环节的质量监控点：课程建设质量监控点、师资队伍建设质量监控点、学风建设质量监控点、课堂教学监控点、校内实训及校外顶岗实习监控点、学生学习过程监控点、学生就业质量监控点、学生后续发展监控点等质量监控点，确定各监控点的责任部门、责任人与相关职责，建立起全员共同保证学生学习质量的保障机制，使质量保障体系落实到学生学习质量的提高上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 w:ascii="方正公文黑体" w:hAnsi="方正公文黑体" w:eastAsia="方正公文黑体" w:cs="方正公文黑体"/>
          <w:sz w:val="28"/>
          <w:szCs w:val="28"/>
        </w:rPr>
      </w:pPr>
      <w:bookmarkStart w:id="36" w:name="_Toc9465"/>
      <w:r>
        <w:rPr>
          <w:rFonts w:hint="eastAsia" w:ascii="方正公文黑体" w:hAnsi="方正公文黑体" w:eastAsia="方正公文黑体" w:cs="方正公文黑体"/>
          <w:sz w:val="28"/>
          <w:szCs w:val="28"/>
        </w:rPr>
        <w:t>十二、说明</w:t>
      </w:r>
      <w:bookmarkEnd w:id="36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37" w:name="_Toc22490"/>
      <w:r>
        <w:rPr>
          <w:rFonts w:hint="eastAsia" w:ascii="宋体" w:hAnsi="宋体" w:eastAsia="宋体" w:cs="宋体"/>
          <w:sz w:val="21"/>
          <w:szCs w:val="21"/>
        </w:rPr>
        <w:t>（一）方案执行对象</w:t>
      </w:r>
      <w:bookmarkEnd w:id="3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美术教育专业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38" w:name="_Toc12495"/>
      <w:r>
        <w:rPr>
          <w:rFonts w:hint="eastAsia" w:ascii="宋体" w:hAnsi="宋体" w:eastAsia="宋体" w:cs="宋体"/>
          <w:sz w:val="21"/>
          <w:szCs w:val="21"/>
        </w:rPr>
        <w:t>（二）方案制订负责人和参与人</w:t>
      </w:r>
      <w:bookmarkEnd w:id="3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方案制订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人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张章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方案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参与人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高文、刘嫚、胡云贵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专家论证团：李梅（中国美术学院教授副院长）、李凡番（浙江文理学院博士院长）、文思（中国美术学院博士研究生）、高文（中国美术学院副教授）、周作荣（漫水湾小学副校长）、徐加茂（西昌学院教务处主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方案修订组：美术教研组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参与学生：王美丹、阿衣取扎、瓦西阿前、安琪、俄木瓦西、阿合石牛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执笔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人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张章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6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审核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人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刘嫚、胡云贵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2022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sectPr>
      <w:pgSz w:w="11906" w:h="16838"/>
      <w:pgMar w:top="1701" w:right="1417" w:bottom="1701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F21CFF-D383-4E2D-9655-F5C5ADCE13D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宋三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127154E5-65BD-4340-B58D-4D4903B8169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2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t>- 3 -</w:t>
                          </w:r>
                          <w:r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cYOQyAgAAY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Zg8y8JG&#10;by2P0FEeb5eHADmTylGUTgl0Jx4we6lPlz2Jw/3nOUU9/TcsH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2Zxg5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  <w:rPr>
                        <w:rFonts w:ascii="Times New Roman" w:hAnsi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t>- 3 -</w:t>
                    </w:r>
                    <w:r>
                      <w:rPr>
                        <w:rFonts w:ascii="Times New Roman" w:hAnsi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67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WQ4NGI4YzUyZjAzOWUxYzAzMjE0YjBkZjU5NTYifQ=="/>
  </w:docVars>
  <w:rsids>
    <w:rsidRoot w:val="16A0041A"/>
    <w:rsid w:val="00015D62"/>
    <w:rsid w:val="0004464E"/>
    <w:rsid w:val="00054B72"/>
    <w:rsid w:val="00076607"/>
    <w:rsid w:val="0007661C"/>
    <w:rsid w:val="00084B7B"/>
    <w:rsid w:val="00085E91"/>
    <w:rsid w:val="000937BA"/>
    <w:rsid w:val="000954C7"/>
    <w:rsid w:val="0009552F"/>
    <w:rsid w:val="000A1ACC"/>
    <w:rsid w:val="000C0A5B"/>
    <w:rsid w:val="000D5E7E"/>
    <w:rsid w:val="000E00D5"/>
    <w:rsid w:val="00100BDC"/>
    <w:rsid w:val="00104491"/>
    <w:rsid w:val="00107CCF"/>
    <w:rsid w:val="00111752"/>
    <w:rsid w:val="00125C9C"/>
    <w:rsid w:val="00162A1D"/>
    <w:rsid w:val="00171C44"/>
    <w:rsid w:val="001733D2"/>
    <w:rsid w:val="00177F6F"/>
    <w:rsid w:val="001A1EC0"/>
    <w:rsid w:val="001A52D9"/>
    <w:rsid w:val="001C3A87"/>
    <w:rsid w:val="001C4B92"/>
    <w:rsid w:val="001D0545"/>
    <w:rsid w:val="001D2590"/>
    <w:rsid w:val="001D73A4"/>
    <w:rsid w:val="001E4920"/>
    <w:rsid w:val="001E5C67"/>
    <w:rsid w:val="001F4E61"/>
    <w:rsid w:val="001F5F7C"/>
    <w:rsid w:val="00205659"/>
    <w:rsid w:val="00226C83"/>
    <w:rsid w:val="00231CD5"/>
    <w:rsid w:val="00232ED1"/>
    <w:rsid w:val="002353AF"/>
    <w:rsid w:val="00236476"/>
    <w:rsid w:val="00246D65"/>
    <w:rsid w:val="002675B4"/>
    <w:rsid w:val="00282DE5"/>
    <w:rsid w:val="00291925"/>
    <w:rsid w:val="00294119"/>
    <w:rsid w:val="002957BA"/>
    <w:rsid w:val="002959FB"/>
    <w:rsid w:val="0029775E"/>
    <w:rsid w:val="002B3C12"/>
    <w:rsid w:val="002F3815"/>
    <w:rsid w:val="002F426B"/>
    <w:rsid w:val="002F4DCC"/>
    <w:rsid w:val="002F4FF2"/>
    <w:rsid w:val="0037544A"/>
    <w:rsid w:val="00380C9B"/>
    <w:rsid w:val="003906E5"/>
    <w:rsid w:val="003A22E3"/>
    <w:rsid w:val="003A6596"/>
    <w:rsid w:val="003F60B3"/>
    <w:rsid w:val="00401F2F"/>
    <w:rsid w:val="0041415E"/>
    <w:rsid w:val="00416B88"/>
    <w:rsid w:val="00427EC5"/>
    <w:rsid w:val="00432F41"/>
    <w:rsid w:val="00433230"/>
    <w:rsid w:val="00437282"/>
    <w:rsid w:val="00443B1F"/>
    <w:rsid w:val="00453F83"/>
    <w:rsid w:val="00455A27"/>
    <w:rsid w:val="00461CBF"/>
    <w:rsid w:val="00472D21"/>
    <w:rsid w:val="00482DB6"/>
    <w:rsid w:val="00483EFB"/>
    <w:rsid w:val="00492EB2"/>
    <w:rsid w:val="00493084"/>
    <w:rsid w:val="004950BC"/>
    <w:rsid w:val="004B27D9"/>
    <w:rsid w:val="004B4498"/>
    <w:rsid w:val="004C217C"/>
    <w:rsid w:val="004C74AE"/>
    <w:rsid w:val="004E1555"/>
    <w:rsid w:val="00502B7B"/>
    <w:rsid w:val="005071D0"/>
    <w:rsid w:val="0051024C"/>
    <w:rsid w:val="00514DBC"/>
    <w:rsid w:val="00516891"/>
    <w:rsid w:val="00522240"/>
    <w:rsid w:val="00532FE5"/>
    <w:rsid w:val="00554AE7"/>
    <w:rsid w:val="00556767"/>
    <w:rsid w:val="005A27FE"/>
    <w:rsid w:val="005A6509"/>
    <w:rsid w:val="005B418F"/>
    <w:rsid w:val="005C466B"/>
    <w:rsid w:val="005D4B26"/>
    <w:rsid w:val="005D6B01"/>
    <w:rsid w:val="005E1735"/>
    <w:rsid w:val="005F2915"/>
    <w:rsid w:val="006028F7"/>
    <w:rsid w:val="00603704"/>
    <w:rsid w:val="00604118"/>
    <w:rsid w:val="0062426B"/>
    <w:rsid w:val="00626469"/>
    <w:rsid w:val="006313F6"/>
    <w:rsid w:val="00644CEC"/>
    <w:rsid w:val="00653751"/>
    <w:rsid w:val="00655739"/>
    <w:rsid w:val="006577DC"/>
    <w:rsid w:val="006738D4"/>
    <w:rsid w:val="006817B6"/>
    <w:rsid w:val="00685AB5"/>
    <w:rsid w:val="00687C3F"/>
    <w:rsid w:val="00692AF1"/>
    <w:rsid w:val="006934D1"/>
    <w:rsid w:val="006A4577"/>
    <w:rsid w:val="006C5F47"/>
    <w:rsid w:val="006C7FA6"/>
    <w:rsid w:val="006D7877"/>
    <w:rsid w:val="006E33D3"/>
    <w:rsid w:val="00700BE2"/>
    <w:rsid w:val="007054B6"/>
    <w:rsid w:val="00711F13"/>
    <w:rsid w:val="00735D8C"/>
    <w:rsid w:val="0074074C"/>
    <w:rsid w:val="0074362F"/>
    <w:rsid w:val="00744966"/>
    <w:rsid w:val="007454B2"/>
    <w:rsid w:val="00757E2D"/>
    <w:rsid w:val="00780474"/>
    <w:rsid w:val="007A2A88"/>
    <w:rsid w:val="007A2AC8"/>
    <w:rsid w:val="007B1D52"/>
    <w:rsid w:val="007B3A93"/>
    <w:rsid w:val="007B4BA4"/>
    <w:rsid w:val="007C4E42"/>
    <w:rsid w:val="007C5A35"/>
    <w:rsid w:val="007C6DF3"/>
    <w:rsid w:val="007D38CC"/>
    <w:rsid w:val="007D3BCD"/>
    <w:rsid w:val="007E135C"/>
    <w:rsid w:val="007E347E"/>
    <w:rsid w:val="007E742C"/>
    <w:rsid w:val="007F26B9"/>
    <w:rsid w:val="007F69DC"/>
    <w:rsid w:val="00803F93"/>
    <w:rsid w:val="008102D5"/>
    <w:rsid w:val="00817D5E"/>
    <w:rsid w:val="00825CAB"/>
    <w:rsid w:val="00827292"/>
    <w:rsid w:val="0082751A"/>
    <w:rsid w:val="0083334B"/>
    <w:rsid w:val="00853CE6"/>
    <w:rsid w:val="00854169"/>
    <w:rsid w:val="00866CFA"/>
    <w:rsid w:val="00876BE5"/>
    <w:rsid w:val="00876EA7"/>
    <w:rsid w:val="008811D0"/>
    <w:rsid w:val="00894349"/>
    <w:rsid w:val="0089769F"/>
    <w:rsid w:val="008A2F37"/>
    <w:rsid w:val="008B61C9"/>
    <w:rsid w:val="008B698F"/>
    <w:rsid w:val="008E50D2"/>
    <w:rsid w:val="008F0352"/>
    <w:rsid w:val="008F1033"/>
    <w:rsid w:val="008F7EF8"/>
    <w:rsid w:val="00913197"/>
    <w:rsid w:val="0091536E"/>
    <w:rsid w:val="00922D09"/>
    <w:rsid w:val="00941993"/>
    <w:rsid w:val="0094325F"/>
    <w:rsid w:val="00957F42"/>
    <w:rsid w:val="009647BB"/>
    <w:rsid w:val="009738B0"/>
    <w:rsid w:val="009851E4"/>
    <w:rsid w:val="00985EA6"/>
    <w:rsid w:val="00997917"/>
    <w:rsid w:val="009C09C6"/>
    <w:rsid w:val="009C6628"/>
    <w:rsid w:val="009F4B60"/>
    <w:rsid w:val="00A04AA6"/>
    <w:rsid w:val="00A2061C"/>
    <w:rsid w:val="00A2723A"/>
    <w:rsid w:val="00A41E51"/>
    <w:rsid w:val="00A47DF2"/>
    <w:rsid w:val="00A57CFD"/>
    <w:rsid w:val="00A722C7"/>
    <w:rsid w:val="00A72D39"/>
    <w:rsid w:val="00A7619C"/>
    <w:rsid w:val="00A81535"/>
    <w:rsid w:val="00A84218"/>
    <w:rsid w:val="00A87C2D"/>
    <w:rsid w:val="00AA1745"/>
    <w:rsid w:val="00AA1B27"/>
    <w:rsid w:val="00AA34EC"/>
    <w:rsid w:val="00AA3AF2"/>
    <w:rsid w:val="00AC062A"/>
    <w:rsid w:val="00AE6813"/>
    <w:rsid w:val="00AF2148"/>
    <w:rsid w:val="00B01FB7"/>
    <w:rsid w:val="00B06603"/>
    <w:rsid w:val="00B13D17"/>
    <w:rsid w:val="00B3205D"/>
    <w:rsid w:val="00B32E37"/>
    <w:rsid w:val="00B37AC5"/>
    <w:rsid w:val="00B40E22"/>
    <w:rsid w:val="00B44996"/>
    <w:rsid w:val="00B45183"/>
    <w:rsid w:val="00B45556"/>
    <w:rsid w:val="00B71F4E"/>
    <w:rsid w:val="00B7575B"/>
    <w:rsid w:val="00B77BA5"/>
    <w:rsid w:val="00B81A22"/>
    <w:rsid w:val="00BA488A"/>
    <w:rsid w:val="00BA6781"/>
    <w:rsid w:val="00BB1FA6"/>
    <w:rsid w:val="00BC12FA"/>
    <w:rsid w:val="00BD7AB8"/>
    <w:rsid w:val="00BE29E4"/>
    <w:rsid w:val="00BE3FC5"/>
    <w:rsid w:val="00BF18AF"/>
    <w:rsid w:val="00BF5724"/>
    <w:rsid w:val="00C0193C"/>
    <w:rsid w:val="00C11C6E"/>
    <w:rsid w:val="00C2249E"/>
    <w:rsid w:val="00C419A4"/>
    <w:rsid w:val="00C53226"/>
    <w:rsid w:val="00C5683C"/>
    <w:rsid w:val="00C62330"/>
    <w:rsid w:val="00C77DB8"/>
    <w:rsid w:val="00C80A26"/>
    <w:rsid w:val="00CA6692"/>
    <w:rsid w:val="00CF25FB"/>
    <w:rsid w:val="00CF4811"/>
    <w:rsid w:val="00CF5E52"/>
    <w:rsid w:val="00D0455A"/>
    <w:rsid w:val="00D13EE8"/>
    <w:rsid w:val="00D165D8"/>
    <w:rsid w:val="00D36F36"/>
    <w:rsid w:val="00D40555"/>
    <w:rsid w:val="00D410A4"/>
    <w:rsid w:val="00D524AB"/>
    <w:rsid w:val="00D564F8"/>
    <w:rsid w:val="00D82174"/>
    <w:rsid w:val="00DA2CC0"/>
    <w:rsid w:val="00DA7E7E"/>
    <w:rsid w:val="00DB5C80"/>
    <w:rsid w:val="00DC40CF"/>
    <w:rsid w:val="00DC4518"/>
    <w:rsid w:val="00DC50ED"/>
    <w:rsid w:val="00DC5DB7"/>
    <w:rsid w:val="00DD0A44"/>
    <w:rsid w:val="00DE0D63"/>
    <w:rsid w:val="00E07E06"/>
    <w:rsid w:val="00E11955"/>
    <w:rsid w:val="00E17548"/>
    <w:rsid w:val="00E2377F"/>
    <w:rsid w:val="00E3287E"/>
    <w:rsid w:val="00E357D8"/>
    <w:rsid w:val="00E364F2"/>
    <w:rsid w:val="00E531C1"/>
    <w:rsid w:val="00E57D15"/>
    <w:rsid w:val="00E77A89"/>
    <w:rsid w:val="00EA1452"/>
    <w:rsid w:val="00EA29A5"/>
    <w:rsid w:val="00EB75DE"/>
    <w:rsid w:val="00ED1AC6"/>
    <w:rsid w:val="00ED7A8B"/>
    <w:rsid w:val="00EE3F26"/>
    <w:rsid w:val="00EE661E"/>
    <w:rsid w:val="00EF0DBE"/>
    <w:rsid w:val="00EF4348"/>
    <w:rsid w:val="00F15E3F"/>
    <w:rsid w:val="00F20813"/>
    <w:rsid w:val="00F2081E"/>
    <w:rsid w:val="00F37E69"/>
    <w:rsid w:val="00F457AE"/>
    <w:rsid w:val="00F51ED4"/>
    <w:rsid w:val="00F6492F"/>
    <w:rsid w:val="00F65D73"/>
    <w:rsid w:val="00F75CB6"/>
    <w:rsid w:val="00F81AF5"/>
    <w:rsid w:val="00F840AA"/>
    <w:rsid w:val="00FB2C0C"/>
    <w:rsid w:val="00FC2088"/>
    <w:rsid w:val="00FC5E79"/>
    <w:rsid w:val="00FE235A"/>
    <w:rsid w:val="01952874"/>
    <w:rsid w:val="01E46308"/>
    <w:rsid w:val="02533F0F"/>
    <w:rsid w:val="027F7392"/>
    <w:rsid w:val="03443114"/>
    <w:rsid w:val="042C3CCA"/>
    <w:rsid w:val="044A3560"/>
    <w:rsid w:val="048D41B9"/>
    <w:rsid w:val="04B91D79"/>
    <w:rsid w:val="04DC45F1"/>
    <w:rsid w:val="05FA1626"/>
    <w:rsid w:val="064269FF"/>
    <w:rsid w:val="065546FA"/>
    <w:rsid w:val="067E0DB0"/>
    <w:rsid w:val="06915A18"/>
    <w:rsid w:val="06A905A2"/>
    <w:rsid w:val="06AB1A0D"/>
    <w:rsid w:val="06E968E6"/>
    <w:rsid w:val="06F36114"/>
    <w:rsid w:val="08A1594F"/>
    <w:rsid w:val="09AA0262"/>
    <w:rsid w:val="0A870BFA"/>
    <w:rsid w:val="0A8C6210"/>
    <w:rsid w:val="0B214CBD"/>
    <w:rsid w:val="0B2D7115"/>
    <w:rsid w:val="0B4F4053"/>
    <w:rsid w:val="0BC00D0B"/>
    <w:rsid w:val="0C0D165D"/>
    <w:rsid w:val="0C176031"/>
    <w:rsid w:val="0D3A2C60"/>
    <w:rsid w:val="0D665C50"/>
    <w:rsid w:val="0D9110AF"/>
    <w:rsid w:val="0DE7078B"/>
    <w:rsid w:val="0DF447F8"/>
    <w:rsid w:val="0E03417E"/>
    <w:rsid w:val="0EEF30B4"/>
    <w:rsid w:val="0F9D7925"/>
    <w:rsid w:val="10031966"/>
    <w:rsid w:val="1024685C"/>
    <w:rsid w:val="105B1446"/>
    <w:rsid w:val="10BC5375"/>
    <w:rsid w:val="10F64E2A"/>
    <w:rsid w:val="11074842"/>
    <w:rsid w:val="119371D2"/>
    <w:rsid w:val="11974CD5"/>
    <w:rsid w:val="11A7330F"/>
    <w:rsid w:val="11DF4BF2"/>
    <w:rsid w:val="11E626AA"/>
    <w:rsid w:val="12176FC0"/>
    <w:rsid w:val="12507906"/>
    <w:rsid w:val="12780AAD"/>
    <w:rsid w:val="12D06EB6"/>
    <w:rsid w:val="12E114CE"/>
    <w:rsid w:val="135950FD"/>
    <w:rsid w:val="13855596"/>
    <w:rsid w:val="138C48F5"/>
    <w:rsid w:val="13A37EA4"/>
    <w:rsid w:val="14237BE5"/>
    <w:rsid w:val="144E5883"/>
    <w:rsid w:val="148522B1"/>
    <w:rsid w:val="15340847"/>
    <w:rsid w:val="15A748DA"/>
    <w:rsid w:val="16097E0C"/>
    <w:rsid w:val="167209B0"/>
    <w:rsid w:val="16A0041A"/>
    <w:rsid w:val="16E51787"/>
    <w:rsid w:val="16EA7B80"/>
    <w:rsid w:val="1700083F"/>
    <w:rsid w:val="174E572C"/>
    <w:rsid w:val="17B74DEA"/>
    <w:rsid w:val="17FC3DCC"/>
    <w:rsid w:val="185B7E07"/>
    <w:rsid w:val="1860407F"/>
    <w:rsid w:val="18E2754B"/>
    <w:rsid w:val="1908297D"/>
    <w:rsid w:val="19461B25"/>
    <w:rsid w:val="19614049"/>
    <w:rsid w:val="19E9611C"/>
    <w:rsid w:val="1A2E22D9"/>
    <w:rsid w:val="1AB5652E"/>
    <w:rsid w:val="1ADF5E79"/>
    <w:rsid w:val="1AF64A90"/>
    <w:rsid w:val="1B0546AB"/>
    <w:rsid w:val="1B1B0F5D"/>
    <w:rsid w:val="1B5D55FB"/>
    <w:rsid w:val="1BB94327"/>
    <w:rsid w:val="1BF612D5"/>
    <w:rsid w:val="1C1A6DF7"/>
    <w:rsid w:val="1C2038FC"/>
    <w:rsid w:val="1C9F0B51"/>
    <w:rsid w:val="1CB70417"/>
    <w:rsid w:val="1CE9734E"/>
    <w:rsid w:val="1D447014"/>
    <w:rsid w:val="1D8211FF"/>
    <w:rsid w:val="1E0F2703"/>
    <w:rsid w:val="1E1F52AD"/>
    <w:rsid w:val="1E8E664D"/>
    <w:rsid w:val="1EBF3161"/>
    <w:rsid w:val="1FA6170F"/>
    <w:rsid w:val="1FDC50B8"/>
    <w:rsid w:val="20642BEE"/>
    <w:rsid w:val="20763B83"/>
    <w:rsid w:val="20867817"/>
    <w:rsid w:val="20B56A47"/>
    <w:rsid w:val="213D742A"/>
    <w:rsid w:val="220835FE"/>
    <w:rsid w:val="221D236F"/>
    <w:rsid w:val="228E47A6"/>
    <w:rsid w:val="22BB44E7"/>
    <w:rsid w:val="231E6FA2"/>
    <w:rsid w:val="235C03EE"/>
    <w:rsid w:val="2382271A"/>
    <w:rsid w:val="24095CB8"/>
    <w:rsid w:val="242C62F6"/>
    <w:rsid w:val="244E4108"/>
    <w:rsid w:val="246D1247"/>
    <w:rsid w:val="247D4B38"/>
    <w:rsid w:val="24E14633"/>
    <w:rsid w:val="24F80089"/>
    <w:rsid w:val="24FE4DE7"/>
    <w:rsid w:val="25B74515"/>
    <w:rsid w:val="25BA4A99"/>
    <w:rsid w:val="25D001AF"/>
    <w:rsid w:val="26816AAB"/>
    <w:rsid w:val="26B93B90"/>
    <w:rsid w:val="26CD31AA"/>
    <w:rsid w:val="26DC50CF"/>
    <w:rsid w:val="28383C5F"/>
    <w:rsid w:val="2849353B"/>
    <w:rsid w:val="28D81CAB"/>
    <w:rsid w:val="28F25861"/>
    <w:rsid w:val="2907064A"/>
    <w:rsid w:val="29150CA3"/>
    <w:rsid w:val="296E5FB5"/>
    <w:rsid w:val="29777BEA"/>
    <w:rsid w:val="29816BF2"/>
    <w:rsid w:val="2A0F240C"/>
    <w:rsid w:val="2A2F1D43"/>
    <w:rsid w:val="2A993CB9"/>
    <w:rsid w:val="2AF32422"/>
    <w:rsid w:val="2BBB02AC"/>
    <w:rsid w:val="2BFD08C4"/>
    <w:rsid w:val="2CB563D2"/>
    <w:rsid w:val="2D0E63C7"/>
    <w:rsid w:val="2D4218D2"/>
    <w:rsid w:val="2D8A3614"/>
    <w:rsid w:val="2DA3713B"/>
    <w:rsid w:val="2DF450FA"/>
    <w:rsid w:val="2E246025"/>
    <w:rsid w:val="2EA2131F"/>
    <w:rsid w:val="2EC359BE"/>
    <w:rsid w:val="2EFD6710"/>
    <w:rsid w:val="2F6527BC"/>
    <w:rsid w:val="2F77098D"/>
    <w:rsid w:val="2FD930EB"/>
    <w:rsid w:val="301A4774"/>
    <w:rsid w:val="304854D7"/>
    <w:rsid w:val="310B4F4C"/>
    <w:rsid w:val="31350C73"/>
    <w:rsid w:val="31617838"/>
    <w:rsid w:val="317667A8"/>
    <w:rsid w:val="31E06CBE"/>
    <w:rsid w:val="31EE37A2"/>
    <w:rsid w:val="31F91B2E"/>
    <w:rsid w:val="324B4EAC"/>
    <w:rsid w:val="328C2617"/>
    <w:rsid w:val="32E567F2"/>
    <w:rsid w:val="331F64E6"/>
    <w:rsid w:val="33E555FE"/>
    <w:rsid w:val="3462025E"/>
    <w:rsid w:val="347B4933"/>
    <w:rsid w:val="34DB0355"/>
    <w:rsid w:val="350A09F2"/>
    <w:rsid w:val="35103010"/>
    <w:rsid w:val="356A7A5A"/>
    <w:rsid w:val="358A0AAE"/>
    <w:rsid w:val="35E85AD9"/>
    <w:rsid w:val="36504B13"/>
    <w:rsid w:val="367507DB"/>
    <w:rsid w:val="36910343"/>
    <w:rsid w:val="36D17577"/>
    <w:rsid w:val="37122693"/>
    <w:rsid w:val="37C40BA7"/>
    <w:rsid w:val="37CF59B4"/>
    <w:rsid w:val="3862042D"/>
    <w:rsid w:val="38731C1B"/>
    <w:rsid w:val="38D92F30"/>
    <w:rsid w:val="395C3C82"/>
    <w:rsid w:val="39A82D8C"/>
    <w:rsid w:val="3A092B2A"/>
    <w:rsid w:val="3BC82EF5"/>
    <w:rsid w:val="3C147469"/>
    <w:rsid w:val="3C5E4AB8"/>
    <w:rsid w:val="3C9601A4"/>
    <w:rsid w:val="3CC7541B"/>
    <w:rsid w:val="3D6E38FC"/>
    <w:rsid w:val="3DAA0CFA"/>
    <w:rsid w:val="3DFC5C55"/>
    <w:rsid w:val="3E047363"/>
    <w:rsid w:val="3E251EA0"/>
    <w:rsid w:val="3F1E30B1"/>
    <w:rsid w:val="3FB005D1"/>
    <w:rsid w:val="3FBD1122"/>
    <w:rsid w:val="408D6DBA"/>
    <w:rsid w:val="41724C7B"/>
    <w:rsid w:val="41851B84"/>
    <w:rsid w:val="41B53F85"/>
    <w:rsid w:val="42817CF7"/>
    <w:rsid w:val="42FB13D0"/>
    <w:rsid w:val="43686C30"/>
    <w:rsid w:val="43735608"/>
    <w:rsid w:val="438C2ECA"/>
    <w:rsid w:val="439F7C8B"/>
    <w:rsid w:val="43AD2695"/>
    <w:rsid w:val="43B9084F"/>
    <w:rsid w:val="43C021F2"/>
    <w:rsid w:val="441A194C"/>
    <w:rsid w:val="447D4E8B"/>
    <w:rsid w:val="44AC2A30"/>
    <w:rsid w:val="44B52A4E"/>
    <w:rsid w:val="44B57B36"/>
    <w:rsid w:val="45103D09"/>
    <w:rsid w:val="455671E0"/>
    <w:rsid w:val="457026BE"/>
    <w:rsid w:val="464128AD"/>
    <w:rsid w:val="47145439"/>
    <w:rsid w:val="476D320A"/>
    <w:rsid w:val="47A619B8"/>
    <w:rsid w:val="47C424AF"/>
    <w:rsid w:val="47FF1D82"/>
    <w:rsid w:val="48743864"/>
    <w:rsid w:val="48C51973"/>
    <w:rsid w:val="48D24C42"/>
    <w:rsid w:val="48D44831"/>
    <w:rsid w:val="48DF0DEC"/>
    <w:rsid w:val="4998711E"/>
    <w:rsid w:val="4AB16FC8"/>
    <w:rsid w:val="4AB80380"/>
    <w:rsid w:val="4AD27EAD"/>
    <w:rsid w:val="4B5528AC"/>
    <w:rsid w:val="4BC47E58"/>
    <w:rsid w:val="4D24641B"/>
    <w:rsid w:val="4D4664E2"/>
    <w:rsid w:val="4DAC584E"/>
    <w:rsid w:val="4E5B3C12"/>
    <w:rsid w:val="4F606190"/>
    <w:rsid w:val="50110BA5"/>
    <w:rsid w:val="50AB72F7"/>
    <w:rsid w:val="50F74B53"/>
    <w:rsid w:val="51332F5F"/>
    <w:rsid w:val="514E39CC"/>
    <w:rsid w:val="51566894"/>
    <w:rsid w:val="51840DEB"/>
    <w:rsid w:val="518C7EFE"/>
    <w:rsid w:val="52E3776F"/>
    <w:rsid w:val="52E953E0"/>
    <w:rsid w:val="53153BD3"/>
    <w:rsid w:val="535E1A92"/>
    <w:rsid w:val="538A5211"/>
    <w:rsid w:val="53B87658"/>
    <w:rsid w:val="53F47BB0"/>
    <w:rsid w:val="54227D16"/>
    <w:rsid w:val="54396B62"/>
    <w:rsid w:val="559315AD"/>
    <w:rsid w:val="57167741"/>
    <w:rsid w:val="575038AF"/>
    <w:rsid w:val="57D62FC0"/>
    <w:rsid w:val="57F141F3"/>
    <w:rsid w:val="5855350E"/>
    <w:rsid w:val="58D243C9"/>
    <w:rsid w:val="58DB3F40"/>
    <w:rsid w:val="58F43735"/>
    <w:rsid w:val="59352264"/>
    <w:rsid w:val="5980608D"/>
    <w:rsid w:val="59A73A9A"/>
    <w:rsid w:val="59F617B3"/>
    <w:rsid w:val="5A4759FA"/>
    <w:rsid w:val="5A6F1044"/>
    <w:rsid w:val="5AED410A"/>
    <w:rsid w:val="5AFE372A"/>
    <w:rsid w:val="5B0D2022"/>
    <w:rsid w:val="5B3D6B6A"/>
    <w:rsid w:val="5B5276C9"/>
    <w:rsid w:val="5B723CE0"/>
    <w:rsid w:val="5BBB3C3F"/>
    <w:rsid w:val="5C7C2213"/>
    <w:rsid w:val="5CA60DC1"/>
    <w:rsid w:val="5DE12C2A"/>
    <w:rsid w:val="5E8F0FA0"/>
    <w:rsid w:val="5E95519C"/>
    <w:rsid w:val="5F767DB8"/>
    <w:rsid w:val="5F823E10"/>
    <w:rsid w:val="5FF214BD"/>
    <w:rsid w:val="60144421"/>
    <w:rsid w:val="602C09D5"/>
    <w:rsid w:val="60952776"/>
    <w:rsid w:val="610E1349"/>
    <w:rsid w:val="62D6719E"/>
    <w:rsid w:val="62DF2FA3"/>
    <w:rsid w:val="63C10D3D"/>
    <w:rsid w:val="642B3C97"/>
    <w:rsid w:val="646D752B"/>
    <w:rsid w:val="64D93676"/>
    <w:rsid w:val="65902F68"/>
    <w:rsid w:val="65B042A7"/>
    <w:rsid w:val="65CD2041"/>
    <w:rsid w:val="66330242"/>
    <w:rsid w:val="66E304F6"/>
    <w:rsid w:val="67286139"/>
    <w:rsid w:val="67B0620F"/>
    <w:rsid w:val="67FB7728"/>
    <w:rsid w:val="690A420D"/>
    <w:rsid w:val="697B5DAF"/>
    <w:rsid w:val="699F6A77"/>
    <w:rsid w:val="69BF3E07"/>
    <w:rsid w:val="69EF32C2"/>
    <w:rsid w:val="6A397368"/>
    <w:rsid w:val="6BA92E4E"/>
    <w:rsid w:val="6BAB5854"/>
    <w:rsid w:val="6BF227D0"/>
    <w:rsid w:val="6C54340B"/>
    <w:rsid w:val="6CC63FFF"/>
    <w:rsid w:val="6CCF5389"/>
    <w:rsid w:val="6D636C2B"/>
    <w:rsid w:val="6DF64B98"/>
    <w:rsid w:val="6E8179DE"/>
    <w:rsid w:val="6EFE45E0"/>
    <w:rsid w:val="6F101C1B"/>
    <w:rsid w:val="6F125A50"/>
    <w:rsid w:val="6F375550"/>
    <w:rsid w:val="6FFC0EE3"/>
    <w:rsid w:val="705D06C8"/>
    <w:rsid w:val="71354DFF"/>
    <w:rsid w:val="7140044E"/>
    <w:rsid w:val="716B2D24"/>
    <w:rsid w:val="719E5EB3"/>
    <w:rsid w:val="726F194C"/>
    <w:rsid w:val="72AE0363"/>
    <w:rsid w:val="73350313"/>
    <w:rsid w:val="73FF5B17"/>
    <w:rsid w:val="742D2694"/>
    <w:rsid w:val="744E7684"/>
    <w:rsid w:val="74793511"/>
    <w:rsid w:val="74A7655D"/>
    <w:rsid w:val="75180F1E"/>
    <w:rsid w:val="7599004C"/>
    <w:rsid w:val="766A3E41"/>
    <w:rsid w:val="76B0098E"/>
    <w:rsid w:val="76C958F2"/>
    <w:rsid w:val="771E1EF4"/>
    <w:rsid w:val="77503FF1"/>
    <w:rsid w:val="783D4101"/>
    <w:rsid w:val="785A6D8A"/>
    <w:rsid w:val="785C2911"/>
    <w:rsid w:val="787673B5"/>
    <w:rsid w:val="78DC14C7"/>
    <w:rsid w:val="79521993"/>
    <w:rsid w:val="79B170B5"/>
    <w:rsid w:val="79E24446"/>
    <w:rsid w:val="7A067F11"/>
    <w:rsid w:val="7A3C382F"/>
    <w:rsid w:val="7AF924FE"/>
    <w:rsid w:val="7B0C28A2"/>
    <w:rsid w:val="7B303A4D"/>
    <w:rsid w:val="7BA47D82"/>
    <w:rsid w:val="7BA6776A"/>
    <w:rsid w:val="7BEA0352"/>
    <w:rsid w:val="7BFC6197"/>
    <w:rsid w:val="7C022978"/>
    <w:rsid w:val="7C7208EB"/>
    <w:rsid w:val="7C9307DB"/>
    <w:rsid w:val="7CD248A3"/>
    <w:rsid w:val="7CEA365C"/>
    <w:rsid w:val="7D637B59"/>
    <w:rsid w:val="7D6E10A3"/>
    <w:rsid w:val="7DE91307"/>
    <w:rsid w:val="7E024E93"/>
    <w:rsid w:val="7E4E559F"/>
    <w:rsid w:val="7F6B226D"/>
    <w:rsid w:val="7FC2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0" w:name="toc 1"/>
    <w:lsdException w:qFormat="1"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99" w:semiHidden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43"/>
    <w:qFormat/>
    <w:uiPriority w:val="0"/>
    <w:pPr>
      <w:spacing w:before="50" w:beforeLines="50" w:after="50" w:afterLines="50"/>
      <w:ind w:left="0" w:leftChars="0" w:firstLine="723" w:firstLineChars="200"/>
      <w:jc w:val="left"/>
      <w:outlineLvl w:val="0"/>
    </w:pPr>
    <w:rPr>
      <w:rFonts w:hint="eastAsia" w:ascii="宋体" w:hAnsi="宋体" w:eastAsia="黑体"/>
      <w:kern w:val="44"/>
      <w:sz w:val="28"/>
      <w:szCs w:val="48"/>
    </w:rPr>
  </w:style>
  <w:style w:type="paragraph" w:styleId="4">
    <w:name w:val="heading 2"/>
    <w:basedOn w:val="1"/>
    <w:next w:val="1"/>
    <w:link w:val="44"/>
    <w:qFormat/>
    <w:uiPriority w:val="1"/>
    <w:pPr>
      <w:spacing w:before="50" w:beforeLines="50" w:after="50" w:afterLines="50"/>
      <w:ind w:left="0" w:leftChars="0" w:firstLine="723" w:firstLineChars="200"/>
      <w:jc w:val="left"/>
      <w:outlineLvl w:val="1"/>
    </w:pPr>
    <w:rPr>
      <w:rFonts w:ascii="宋体" w:hAnsi="宋体" w:cs="宋体"/>
      <w:bCs/>
      <w:sz w:val="24"/>
      <w:lang w:val="zh-CN" w:bidi="zh-CN"/>
    </w:rPr>
  </w:style>
  <w:style w:type="paragraph" w:styleId="5">
    <w:name w:val="heading 3"/>
    <w:next w:val="1"/>
    <w:unhideWhenUsed/>
    <w:qFormat/>
    <w:uiPriority w:val="0"/>
    <w:pPr>
      <w:keepNext/>
      <w:keepLines/>
      <w:widowControl w:val="0"/>
      <w:spacing w:before="50" w:beforeLines="50" w:beforeAutospacing="0" w:after="50" w:afterLines="50" w:afterAutospacing="0" w:line="240" w:lineRule="auto"/>
      <w:ind w:firstLine="562" w:firstLineChars="200"/>
      <w:jc w:val="both"/>
      <w:outlineLvl w:val="2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50" w:beforeLines="50" w:beforeAutospacing="0" w:after="50" w:afterLines="50" w:afterAutospacing="0" w:line="240" w:lineRule="auto"/>
      <w:ind w:firstLine="480" w:firstLineChars="200"/>
      <w:outlineLvl w:val="3"/>
    </w:pPr>
    <w:rPr>
      <w:rFonts w:ascii="Arial" w:hAnsi="Arial" w:eastAsia="黑体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</w:rPr>
  </w:style>
  <w:style w:type="paragraph" w:styleId="7">
    <w:name w:val="Normal Indent"/>
    <w:basedOn w:val="1"/>
    <w:qFormat/>
    <w:uiPriority w:val="99"/>
    <w:pPr>
      <w:adjustRightInd w:val="0"/>
      <w:snapToGrid w:val="0"/>
      <w:ind w:firstLine="420"/>
    </w:pPr>
    <w:rPr>
      <w:rFonts w:ascii="Calibri" w:hAnsi="Calibri"/>
      <w:kern w:val="0"/>
      <w:sz w:val="20"/>
    </w:rPr>
  </w:style>
  <w:style w:type="paragraph" w:styleId="8">
    <w:name w:val="annotation text"/>
    <w:basedOn w:val="1"/>
    <w:semiHidden/>
    <w:unhideWhenUsed/>
    <w:qFormat/>
    <w:uiPriority w:val="0"/>
    <w:pPr>
      <w:jc w:val="left"/>
    </w:pPr>
  </w:style>
  <w:style w:type="paragraph" w:styleId="9">
    <w:name w:val="Body Text"/>
    <w:basedOn w:val="1"/>
    <w:link w:val="45"/>
    <w:qFormat/>
    <w:uiPriority w:val="1"/>
    <w:pPr>
      <w:ind w:left="746"/>
    </w:pPr>
    <w:rPr>
      <w:rFonts w:ascii="仿宋_GB2312" w:hAnsi="仿宋_GB2312" w:eastAsia="仿宋_GB2312" w:cs="仿宋_GB2312"/>
      <w:sz w:val="30"/>
      <w:szCs w:val="30"/>
      <w:lang w:val="zh-CN" w:bidi="zh-CN"/>
    </w:rPr>
  </w:style>
  <w:style w:type="paragraph" w:styleId="10">
    <w:name w:val="Body Text Indent"/>
    <w:basedOn w:val="1"/>
    <w:link w:val="49"/>
    <w:qFormat/>
    <w:uiPriority w:val="0"/>
    <w:pPr>
      <w:spacing w:after="120"/>
      <w:ind w:left="420" w:leftChars="200"/>
    </w:pPr>
  </w:style>
  <w:style w:type="paragraph" w:styleId="11">
    <w:name w:val="Balloon Text"/>
    <w:basedOn w:val="1"/>
    <w:link w:val="42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2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semiHidden/>
    <w:unhideWhenUsed/>
    <w:qFormat/>
    <w:uiPriority w:val="0"/>
  </w:style>
  <w:style w:type="paragraph" w:styleId="15">
    <w:name w:val="toc 2"/>
    <w:basedOn w:val="1"/>
    <w:next w:val="1"/>
    <w:semiHidden/>
    <w:unhideWhenUsed/>
    <w:qFormat/>
    <w:uiPriority w:val="0"/>
    <w:pPr>
      <w:ind w:left="420" w:leftChars="200"/>
    </w:p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Body Text First Indent 2"/>
    <w:basedOn w:val="10"/>
    <w:next w:val="1"/>
    <w:link w:val="50"/>
    <w:unhideWhenUsed/>
    <w:qFormat/>
    <w:uiPriority w:val="99"/>
    <w:pPr>
      <w:ind w:firstLine="420" w:firstLineChars="200"/>
    </w:pPr>
  </w:style>
  <w:style w:type="table" w:styleId="19">
    <w:name w:val="Table Grid"/>
    <w:basedOn w:val="18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0"/>
    <w:rPr>
      <w:b/>
    </w:rPr>
  </w:style>
  <w:style w:type="character" w:styleId="22">
    <w:name w:val="Emphasis"/>
    <w:basedOn w:val="20"/>
    <w:qFormat/>
    <w:uiPriority w:val="0"/>
    <w:rPr>
      <w:i/>
    </w:rPr>
  </w:style>
  <w:style w:type="character" w:styleId="23">
    <w:name w:val="Hyperlink"/>
    <w:unhideWhenUsed/>
    <w:qFormat/>
    <w:uiPriority w:val="99"/>
    <w:rPr>
      <w:color w:val="0563C1"/>
      <w:u w:val="single"/>
    </w:rPr>
  </w:style>
  <w:style w:type="paragraph" w:customStyle="1" w:styleId="24">
    <w:name w:val="正文文本首行缩进 21"/>
    <w:basedOn w:val="10"/>
    <w:unhideWhenUsed/>
    <w:qFormat/>
    <w:uiPriority w:val="99"/>
    <w:pPr>
      <w:ind w:firstLine="420" w:firstLineChars="200"/>
    </w:pPr>
  </w:style>
  <w:style w:type="character" w:customStyle="1" w:styleId="25">
    <w:name w:val="页眉 字符"/>
    <w:link w:val="13"/>
    <w:qFormat/>
    <w:uiPriority w:val="0"/>
    <w:rPr>
      <w:kern w:val="2"/>
      <w:sz w:val="18"/>
      <w:szCs w:val="24"/>
    </w:rPr>
  </w:style>
  <w:style w:type="paragraph" w:customStyle="1" w:styleId="26">
    <w:name w:val="TOC 11"/>
    <w:basedOn w:val="1"/>
    <w:next w:val="1"/>
    <w:qFormat/>
    <w:uiPriority w:val="0"/>
  </w:style>
  <w:style w:type="paragraph" w:customStyle="1" w:styleId="27">
    <w:name w:val="TOC 21"/>
    <w:basedOn w:val="1"/>
    <w:next w:val="1"/>
    <w:qFormat/>
    <w:uiPriority w:val="0"/>
    <w:pPr>
      <w:ind w:left="420" w:leftChars="200"/>
    </w:pPr>
  </w:style>
  <w:style w:type="character" w:customStyle="1" w:styleId="28">
    <w:name w:val="访问过的超链接1"/>
    <w:unhideWhenUsed/>
    <w:qFormat/>
    <w:uiPriority w:val="99"/>
    <w:rPr>
      <w:color w:val="954F72"/>
      <w:u w:val="single"/>
    </w:rPr>
  </w:style>
  <w:style w:type="character" w:customStyle="1" w:styleId="29">
    <w:name w:val="font1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0">
    <w:name w:val="font41"/>
    <w:qFormat/>
    <w:uiPriority w:val="0"/>
    <w:rPr>
      <w:rFonts w:hint="default" w:ascii="方正宋三简体" w:hAnsi="方正宋三简体" w:eastAsia="方正宋三简体" w:cs="方正宋三简体"/>
      <w:color w:val="000000"/>
      <w:sz w:val="18"/>
      <w:szCs w:val="18"/>
      <w:u w:val="none"/>
    </w:rPr>
  </w:style>
  <w:style w:type="paragraph" w:customStyle="1" w:styleId="3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32">
    <w:name w:val="xl6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3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仿宋" w:hAnsi="仿宋" w:eastAsia="仿宋" w:cs="宋体"/>
      <w:color w:val="000000"/>
      <w:kern w:val="0"/>
      <w:sz w:val="18"/>
      <w:szCs w:val="18"/>
    </w:rPr>
  </w:style>
  <w:style w:type="paragraph" w:customStyle="1" w:styleId="3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" w:hAnsi="仿宋" w:eastAsia="仿宋" w:cs="宋体"/>
      <w:kern w:val="0"/>
      <w:sz w:val="18"/>
      <w:szCs w:val="18"/>
    </w:rPr>
  </w:style>
  <w:style w:type="paragraph" w:customStyle="1" w:styleId="35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" w:hAnsi="仿宋" w:eastAsia="仿宋" w:cs="宋体"/>
      <w:kern w:val="0"/>
      <w:sz w:val="18"/>
      <w:szCs w:val="18"/>
    </w:rPr>
  </w:style>
  <w:style w:type="paragraph" w:customStyle="1" w:styleId="36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" w:hAnsi="仿宋" w:eastAsia="仿宋" w:cs="宋体"/>
      <w:color w:val="000000"/>
      <w:kern w:val="0"/>
      <w:sz w:val="18"/>
      <w:szCs w:val="18"/>
    </w:rPr>
  </w:style>
  <w:style w:type="paragraph" w:customStyle="1" w:styleId="37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" w:hAnsi="仿宋" w:eastAsia="仿宋" w:cs="宋体"/>
      <w:color w:val="000000"/>
      <w:kern w:val="0"/>
      <w:sz w:val="18"/>
      <w:szCs w:val="18"/>
    </w:rPr>
  </w:style>
  <w:style w:type="paragraph" w:customStyle="1" w:styleId="38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" w:hAnsi="仿宋" w:eastAsia="仿宋" w:cs="宋体"/>
      <w:kern w:val="0"/>
      <w:sz w:val="18"/>
      <w:szCs w:val="18"/>
    </w:rPr>
  </w:style>
  <w:style w:type="paragraph" w:customStyle="1" w:styleId="39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仿宋" w:hAnsi="仿宋" w:eastAsia="仿宋" w:cs="宋体"/>
      <w:kern w:val="0"/>
      <w:sz w:val="18"/>
      <w:szCs w:val="18"/>
    </w:rPr>
  </w:style>
  <w:style w:type="paragraph" w:customStyle="1" w:styleId="40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kern w:val="0"/>
      <w:sz w:val="18"/>
      <w:szCs w:val="18"/>
    </w:rPr>
  </w:style>
  <w:style w:type="character" w:customStyle="1" w:styleId="42">
    <w:name w:val="批注框文本 字符"/>
    <w:basedOn w:val="20"/>
    <w:link w:val="11"/>
    <w:qFormat/>
    <w:uiPriority w:val="0"/>
    <w:rPr>
      <w:kern w:val="2"/>
      <w:sz w:val="18"/>
      <w:szCs w:val="18"/>
    </w:rPr>
  </w:style>
  <w:style w:type="character" w:customStyle="1" w:styleId="43">
    <w:name w:val="标题 1 字符"/>
    <w:basedOn w:val="20"/>
    <w:link w:val="3"/>
    <w:qFormat/>
    <w:uiPriority w:val="0"/>
    <w:rPr>
      <w:rFonts w:ascii="宋体" w:hAnsi="宋体" w:eastAsia="黑体"/>
      <w:kern w:val="44"/>
      <w:sz w:val="28"/>
      <w:szCs w:val="48"/>
    </w:rPr>
  </w:style>
  <w:style w:type="character" w:customStyle="1" w:styleId="44">
    <w:name w:val="标题 2 字符"/>
    <w:basedOn w:val="20"/>
    <w:link w:val="4"/>
    <w:qFormat/>
    <w:uiPriority w:val="1"/>
    <w:rPr>
      <w:rFonts w:ascii="宋体" w:hAnsi="宋体" w:eastAsia="宋体" w:cs="宋体"/>
      <w:bCs/>
      <w:kern w:val="2"/>
      <w:sz w:val="24"/>
      <w:szCs w:val="24"/>
      <w:lang w:val="zh-CN" w:bidi="zh-CN"/>
    </w:rPr>
  </w:style>
  <w:style w:type="character" w:customStyle="1" w:styleId="45">
    <w:name w:val="正文文本 字符"/>
    <w:basedOn w:val="20"/>
    <w:link w:val="9"/>
    <w:qFormat/>
    <w:uiPriority w:val="1"/>
    <w:rPr>
      <w:rFonts w:ascii="仿宋_GB2312" w:hAnsi="仿宋_GB2312" w:eastAsia="仿宋_GB2312" w:cs="仿宋_GB2312"/>
      <w:kern w:val="2"/>
      <w:sz w:val="30"/>
      <w:szCs w:val="30"/>
      <w:lang w:val="zh-CN" w:bidi="zh-CN"/>
    </w:rPr>
  </w:style>
  <w:style w:type="paragraph" w:customStyle="1" w:styleId="46">
    <w:name w:val="Table Paragraph"/>
    <w:basedOn w:val="1"/>
    <w:qFormat/>
    <w:uiPriority w:val="1"/>
    <w:rPr>
      <w:rFonts w:ascii="仿宋_GB2312" w:hAnsi="仿宋_GB2312" w:eastAsia="仿宋_GB2312" w:cs="仿宋_GB2312"/>
      <w:lang w:val="zh-CN" w:bidi="zh-CN"/>
    </w:rPr>
  </w:style>
  <w:style w:type="paragraph" w:styleId="47">
    <w:name w:val="List Paragraph"/>
    <w:basedOn w:val="1"/>
    <w:qFormat/>
    <w:uiPriority w:val="1"/>
    <w:pPr>
      <w:spacing w:before="156"/>
      <w:ind w:left="1766" w:hanging="421"/>
    </w:pPr>
    <w:rPr>
      <w:rFonts w:ascii="仿宋_GB2312" w:hAnsi="仿宋_GB2312" w:eastAsia="仿宋_GB2312" w:cs="仿宋_GB2312"/>
      <w:lang w:val="zh-CN" w:bidi="zh-CN"/>
    </w:rPr>
  </w:style>
  <w:style w:type="paragraph" w:customStyle="1" w:styleId="48">
    <w:name w:val="_Style 38"/>
    <w:basedOn w:val="10"/>
    <w:next w:val="17"/>
    <w:unhideWhenUsed/>
    <w:qFormat/>
    <w:uiPriority w:val="99"/>
    <w:pPr>
      <w:ind w:firstLine="420" w:firstLineChars="200"/>
    </w:pPr>
  </w:style>
  <w:style w:type="character" w:customStyle="1" w:styleId="49">
    <w:name w:val="正文文本缩进 字符"/>
    <w:basedOn w:val="20"/>
    <w:link w:val="10"/>
    <w:qFormat/>
    <w:uiPriority w:val="0"/>
    <w:rPr>
      <w:kern w:val="2"/>
      <w:sz w:val="21"/>
      <w:szCs w:val="24"/>
    </w:rPr>
  </w:style>
  <w:style w:type="character" w:customStyle="1" w:styleId="50">
    <w:name w:val="正文文本首行缩进 2 字符"/>
    <w:basedOn w:val="49"/>
    <w:link w:val="17"/>
    <w:semiHidden/>
    <w:qFormat/>
    <w:uiPriority w:val="99"/>
    <w:rPr>
      <w:kern w:val="2"/>
      <w:sz w:val="21"/>
      <w:szCs w:val="24"/>
    </w:rPr>
  </w:style>
  <w:style w:type="character" w:customStyle="1" w:styleId="51">
    <w:name w:val="font21"/>
    <w:basedOn w:val="2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2">
    <w:name w:val="font71"/>
    <w:basedOn w:val="20"/>
    <w:qFormat/>
    <w:uiPriority w:val="0"/>
    <w:rPr>
      <w:rFonts w:ascii="仿宋" w:hAnsi="仿宋" w:eastAsia="仿宋" w:cs="仿宋"/>
      <w:color w:val="000000"/>
      <w:sz w:val="18"/>
      <w:szCs w:val="18"/>
      <w:u w:val="none"/>
    </w:rPr>
  </w:style>
  <w:style w:type="paragraph" w:customStyle="1" w:styleId="5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5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55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56">
    <w:name w:val="font01"/>
    <w:basedOn w:val="2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30</Pages>
  <Words>11372</Words>
  <Characters>12894</Characters>
  <Lines>48</Lines>
  <Paragraphs>13</Paragraphs>
  <TotalTime>0</TotalTime>
  <ScaleCrop>false</ScaleCrop>
  <LinksUpToDate>false</LinksUpToDate>
  <CharactersWithSpaces>12934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2022-07-15T08:22:00Z</dcterms:created>
  <dc:creator>lenovo</dc:creator>
  <cp:lastModifiedBy>缘玲</cp:lastModifiedBy>
  <cp:lastPrinted>2016-02-09T13:10:00Z</cp:lastPrinted>
  <dcterms:modified xsi:type="dcterms:W3CDTF">2023-08-17T04:19:09Z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DA2C1A2AD6F143849210F313A8C13767</vt:lpwstr>
  </property>
</Properties>
</file>